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2" w:name="_GoBack"/>
      <w:bookmarkEnd w:id="2"/>
      <w:bookmarkStart w:id="0" w:name="第二部分伦理审查申请指南"/>
      <w:bookmarkStart w:id="1" w:name="_Toc456777093"/>
      <w:r>
        <w:rPr>
          <w:rFonts w:hint="eastAsia"/>
        </w:rPr>
        <w:t>伦理审查申请指南</w:t>
      </w:r>
      <w:bookmarkEnd w:id="0"/>
      <w:r>
        <w:rPr>
          <w:rFonts w:hAnsi="宋体"/>
        </w:rPr>
        <w:t>（</w:t>
      </w:r>
      <w:r>
        <w:rPr>
          <w:rFonts w:hAnsi="Times New Roman"/>
        </w:rPr>
        <w:t>Guideline for Ethical Review Application</w:t>
      </w:r>
      <w:r>
        <w:rPr>
          <w:rFonts w:hAnsi="宋体"/>
        </w:rPr>
        <w:t>）</w:t>
      </w:r>
      <w:bookmarkEnd w:id="1"/>
      <w:r>
        <w:rPr>
          <w:rFonts w:hint="eastAsia"/>
        </w:rPr>
        <w:t>（</w:t>
      </w:r>
      <w:r>
        <w:rPr>
          <w:rFonts w:hint="eastAsia" w:ascii="Calibri" w:hAnsi="Calibri"/>
        </w:rPr>
        <w:t>IRB GL/01.01/03.</w:t>
      </w:r>
      <w:r>
        <w:rPr>
          <w:rFonts w:hint="eastAsia" w:ascii="Calibri" w:hAnsi="Calibri"/>
          <w:lang w:val="en-US" w:eastAsia="zh-CN"/>
        </w:rPr>
        <w:t>2</w:t>
      </w:r>
      <w:r>
        <w:rPr>
          <w:rFonts w:hint="eastAsia"/>
        </w:rPr>
        <w:t>）</w:t>
      </w:r>
    </w:p>
    <w:p/>
    <w:p>
      <w:pPr>
        <w:ind w:left="21" w:leftChars="10" w:firstLine="420" w:firstLineChars="200"/>
        <w:rPr>
          <w:rFonts w:ascii="宋体" w:hAnsi="宋体"/>
        </w:rPr>
      </w:pPr>
      <w:r>
        <w:rPr>
          <w:rFonts w:hint="eastAsia" w:ascii="宋体" w:hAnsi="宋体"/>
        </w:rPr>
        <w:t>为指导主要研究者/申办者、课题负责人提交药物/医疗器械临床试验项目、科研课题的伦理审查申请/报告，特制订本指南。</w:t>
      </w:r>
    </w:p>
    <w:p>
      <w:pPr>
        <w:ind w:left="21" w:leftChars="10" w:firstLine="420" w:firstLineChars="200"/>
        <w:rPr>
          <w:rFonts w:ascii="宋体" w:hAnsi="宋体"/>
        </w:rPr>
      </w:pPr>
    </w:p>
    <w:p>
      <w:pPr>
        <w:ind w:left="21" w:leftChars="10"/>
        <w:rPr>
          <w:rFonts w:ascii="宋体" w:hAnsi="宋体"/>
          <w:b/>
        </w:rPr>
      </w:pPr>
      <w:r>
        <w:rPr>
          <w:rFonts w:hint="eastAsia" w:ascii="宋体" w:hAnsi="宋体"/>
          <w:b/>
        </w:rPr>
        <w:t>一、提交伦理审查的研究项目范围</w:t>
      </w:r>
    </w:p>
    <w:p>
      <w:pPr>
        <w:ind w:left="21" w:leftChars="10" w:firstLine="420" w:firstLineChars="200"/>
        <w:jc w:val="left"/>
        <w:rPr>
          <w:rFonts w:ascii="宋体" w:hAnsi="宋体"/>
        </w:rPr>
      </w:pPr>
      <w:r>
        <w:rPr>
          <w:rFonts w:hint="eastAsia" w:ascii="宋体" w:hAnsi="宋体"/>
          <w:color w:val="000000"/>
        </w:rPr>
        <w:t>根据卫计委《涉及人的生物医学研究伦理审查办法》（2016年），国家食品药品监督管理局《药物临床试验质量管理规范》（2003年）、《医疗器械临床试验质量管理规范》（2016年）、《药物临</w:t>
      </w:r>
      <w:r>
        <w:rPr>
          <w:rFonts w:hint="eastAsia" w:ascii="宋体" w:hAnsi="宋体"/>
        </w:rPr>
        <w:t>床试验伦理审查工作指导原则》（2010年），国家中医药管理局《中医药临床研究伦理审查管理规范》（2010），所有在我院内实施的涉及人的生物医学研究项目，包括对可辨认身份的人体组织或数据的下列范围的临床研究项目，应依据本指南向伦理委员会提交伦理审查申请/报告：</w:t>
      </w:r>
    </w:p>
    <w:p>
      <w:pPr>
        <w:numPr>
          <w:ilvl w:val="0"/>
          <w:numId w:val="1"/>
        </w:numPr>
        <w:tabs>
          <w:tab w:val="clear" w:pos="420"/>
        </w:tabs>
        <w:ind w:left="840"/>
        <w:rPr>
          <w:rFonts w:ascii="宋体" w:hAnsi="宋体"/>
          <w:b/>
        </w:rPr>
      </w:pPr>
      <w:r>
        <w:rPr>
          <w:rFonts w:hint="eastAsia" w:ascii="宋体" w:hAnsi="宋体"/>
          <w:b/>
        </w:rPr>
        <w:t>药物临床试验；</w:t>
      </w:r>
    </w:p>
    <w:p>
      <w:pPr>
        <w:numPr>
          <w:ilvl w:val="0"/>
          <w:numId w:val="1"/>
        </w:numPr>
        <w:tabs>
          <w:tab w:val="clear" w:pos="420"/>
        </w:tabs>
        <w:ind w:left="840"/>
        <w:rPr>
          <w:rFonts w:ascii="宋体" w:hAnsi="宋体"/>
          <w:b/>
        </w:rPr>
      </w:pPr>
      <w:r>
        <w:rPr>
          <w:rFonts w:hint="eastAsia" w:ascii="宋体" w:hAnsi="宋体"/>
          <w:b/>
        </w:rPr>
        <w:t>医疗器械临床试验；</w:t>
      </w:r>
    </w:p>
    <w:p>
      <w:pPr>
        <w:numPr>
          <w:ilvl w:val="0"/>
          <w:numId w:val="1"/>
        </w:numPr>
        <w:tabs>
          <w:tab w:val="clear" w:pos="420"/>
        </w:tabs>
        <w:ind w:left="840"/>
        <w:rPr>
          <w:rFonts w:ascii="宋体" w:hAnsi="宋体"/>
          <w:b/>
        </w:rPr>
      </w:pPr>
      <w:r>
        <w:rPr>
          <w:rFonts w:hint="eastAsia" w:ascii="宋体" w:hAnsi="宋体"/>
          <w:b/>
        </w:rPr>
        <w:t>医疗新技术申报/试验；</w:t>
      </w:r>
    </w:p>
    <w:p>
      <w:pPr>
        <w:numPr>
          <w:ilvl w:val="0"/>
          <w:numId w:val="1"/>
        </w:numPr>
        <w:tabs>
          <w:tab w:val="clear" w:pos="420"/>
        </w:tabs>
        <w:ind w:left="840"/>
        <w:rPr>
          <w:rFonts w:ascii="宋体" w:hAnsi="宋体"/>
          <w:b/>
        </w:rPr>
      </w:pPr>
      <w:r>
        <w:rPr>
          <w:rFonts w:hint="eastAsia" w:ascii="宋体" w:hAnsi="宋体"/>
          <w:b/>
        </w:rPr>
        <w:t>涉及人体临床研究的科研项目。</w:t>
      </w:r>
    </w:p>
    <w:p>
      <w:pPr>
        <w:pStyle w:val="4"/>
        <w:ind w:left="21" w:leftChars="10" w:firstLine="0" w:firstLineChars="0"/>
        <w:rPr>
          <w:rFonts w:ascii="宋体" w:hAnsi="宋体"/>
          <w:b/>
          <w:szCs w:val="22"/>
        </w:rPr>
      </w:pPr>
      <w:r>
        <w:rPr>
          <w:rFonts w:hint="eastAsia" w:ascii="宋体" w:hAnsi="宋体"/>
          <w:b/>
          <w:szCs w:val="22"/>
        </w:rPr>
        <w:t>二、伦理审查流程</w:t>
      </w:r>
    </w:p>
    <w:p>
      <w:pPr>
        <w:pStyle w:val="4"/>
        <w:ind w:left="21" w:leftChars="10" w:firstLine="0" w:firstLineChars="0"/>
        <w:rPr>
          <w:rFonts w:ascii="宋体" w:hAnsi="宋体"/>
          <w:b/>
          <w:szCs w:val="22"/>
        </w:rPr>
      </w:pPr>
    </w:p>
    <w:p>
      <w:r>
        <mc:AlternateContent>
          <mc:Choice Requires="wpg">
            <w:drawing>
              <wp:anchor distT="0" distB="0" distL="114300" distR="114300" simplePos="0" relativeHeight="251658240" behindDoc="0" locked="0" layoutInCell="1" allowOverlap="1">
                <wp:simplePos x="0" y="0"/>
                <wp:positionH relativeFrom="column">
                  <wp:posOffset>163830</wp:posOffset>
                </wp:positionH>
                <wp:positionV relativeFrom="paragraph">
                  <wp:posOffset>1268095</wp:posOffset>
                </wp:positionV>
                <wp:extent cx="5419725" cy="1818005"/>
                <wp:effectExtent l="4445" t="7620" r="5080" b="22225"/>
                <wp:wrapNone/>
                <wp:docPr id="8" name="组合 7"/>
                <wp:cNvGraphicFramePr/>
                <a:graphic xmlns:a="http://schemas.openxmlformats.org/drawingml/2006/main">
                  <a:graphicData uri="http://schemas.microsoft.com/office/word/2010/wordprocessingGroup">
                    <wpg:wgp>
                      <wpg:cNvGrpSpPr/>
                      <wpg:grpSpPr>
                        <a:xfrm>
                          <a:off x="0" y="0"/>
                          <a:ext cx="5419725" cy="1818005"/>
                          <a:chOff x="2142" y="13077"/>
                          <a:chExt cx="8535" cy="3099"/>
                        </a:xfrm>
                        <a:effectLst/>
                      </wpg:grpSpPr>
                      <wps:wsp>
                        <wps:cNvPr id="5" name="自选图形 8"/>
                        <wps:cNvSpPr/>
                        <wps:spPr>
                          <a:xfrm>
                            <a:off x="2142" y="14133"/>
                            <a:ext cx="8535" cy="2043"/>
                          </a:xfrm>
                          <a:prstGeom prst="roundRect">
                            <a:avLst>
                              <a:gd name="adj" fmla="val 16667"/>
                            </a:avLst>
                          </a:prstGeom>
                          <a:solidFill>
                            <a:srgbClr val="FDEADA">
                              <a:lumMod val="20000"/>
                              <a:lumOff val="80000"/>
                            </a:srgbClr>
                          </a:solidFill>
                          <a:ln w="9525" cap="flat" cmpd="sng">
                            <a:solidFill>
                              <a:srgbClr val="000000"/>
                            </a:solidFill>
                            <a:prstDash val="solid"/>
                            <a:headEnd type="none" w="med" len="med"/>
                            <a:tailEnd type="none" w="med" len="med"/>
                          </a:ln>
                          <a:effectLst/>
                        </wps:spPr>
                        <wps:txbx>
                          <w:txbxContent>
                            <w:p>
                              <w:pPr>
                                <w:rPr>
                                  <w:b/>
                                  <w:szCs w:val="21"/>
                                </w:rPr>
                              </w:pPr>
                              <w:r>
                                <w:rPr>
                                  <w:rFonts w:hint="eastAsia"/>
                                  <w:b/>
                                  <w:szCs w:val="21"/>
                                </w:rPr>
                                <w:t>会议审查： 药物、器械、科研项目、新技术临床试验，复审等</w:t>
                              </w:r>
                            </w:p>
                            <w:p>
                              <w:pPr>
                                <w:rPr>
                                  <w:b/>
                                  <w:szCs w:val="21"/>
                                </w:rPr>
                              </w:pPr>
                              <w:r>
                                <w:rPr>
                                  <w:rFonts w:hint="eastAsia"/>
                                  <w:b/>
                                  <w:szCs w:val="21"/>
                                </w:rPr>
                                <w:t>快速审查： 科研申报、科研项目、二类新技术临床试验、</w:t>
                              </w:r>
                            </w:p>
                            <w:p>
                              <w:pPr>
                                <w:rPr>
                                  <w:b/>
                                  <w:szCs w:val="21"/>
                                </w:rPr>
                              </w:pPr>
                              <w:r>
                                <w:rPr>
                                  <w:rFonts w:hint="eastAsia"/>
                                  <w:b/>
                                  <w:szCs w:val="21"/>
                                </w:rPr>
                                <w:t xml:space="preserve">           复审、跟踪审查等</w:t>
                              </w:r>
                            </w:p>
                            <w:p>
                              <w:pPr>
                                <w:rPr>
                                  <w:b/>
                                  <w:szCs w:val="21"/>
                                </w:rPr>
                              </w:pPr>
                              <w:r>
                                <w:rPr>
                                  <w:rFonts w:hint="eastAsia"/>
                                  <w:b/>
                                  <w:szCs w:val="21"/>
                                </w:rPr>
                                <w:t>审查时间： 会议审查≤6周</w:t>
                              </w:r>
                            </w:p>
                            <w:p>
                              <w:pPr>
                                <w:ind w:firstLine="1157" w:firstLineChars="549"/>
                                <w:rPr>
                                  <w:b/>
                                  <w:szCs w:val="21"/>
                                </w:rPr>
                              </w:pPr>
                              <w:r>
                                <w:rPr>
                                  <w:rFonts w:hint="eastAsia"/>
                                  <w:b/>
                                  <w:szCs w:val="21"/>
                                </w:rPr>
                                <w:t>快速审查≤4周</w:t>
                              </w:r>
                            </w:p>
                          </w:txbxContent>
                        </wps:txbx>
                        <wps:bodyPr upright="1"/>
                      </wps:wsp>
                      <wps:wsp>
                        <wps:cNvPr id="6" name="自选图形 9"/>
                        <wps:cNvSpPr/>
                        <wps:spPr>
                          <a:xfrm>
                            <a:off x="7650" y="13077"/>
                            <a:ext cx="1125" cy="375"/>
                          </a:xfrm>
                          <a:prstGeom prst="leftArrow">
                            <a:avLst>
                              <a:gd name="adj1" fmla="val 50000"/>
                              <a:gd name="adj2" fmla="val 75000"/>
                            </a:avLst>
                          </a:prstGeom>
                          <a:solidFill>
                            <a:srgbClr val="FFFFFF"/>
                          </a:solidFill>
                          <a:ln w="28575" cap="flat" cmpd="sng">
                            <a:solidFill>
                              <a:srgbClr val="7030A0"/>
                            </a:solidFill>
                            <a:prstDash val="dash"/>
                            <a:miter/>
                            <a:headEnd type="none" w="med" len="med"/>
                            <a:tailEnd type="none" w="med" len="med"/>
                          </a:ln>
                          <a:effectLst/>
                        </wps:spPr>
                        <wps:bodyPr upright="1"/>
                      </wps:wsp>
                      <wps:wsp>
                        <wps:cNvPr id="7" name="自选图形 10"/>
                        <wps:cNvSpPr/>
                        <wps:spPr>
                          <a:xfrm>
                            <a:off x="4324" y="13077"/>
                            <a:ext cx="1125" cy="375"/>
                          </a:xfrm>
                          <a:prstGeom prst="leftArrow">
                            <a:avLst>
                              <a:gd name="adj1" fmla="val 50000"/>
                              <a:gd name="adj2" fmla="val 75000"/>
                            </a:avLst>
                          </a:prstGeom>
                          <a:solidFill>
                            <a:srgbClr val="FFFFFF"/>
                          </a:solidFill>
                          <a:ln w="28575" cap="flat" cmpd="sng">
                            <a:solidFill>
                              <a:srgbClr val="7030A0"/>
                            </a:solidFill>
                            <a:prstDash val="dash"/>
                            <a:miter/>
                            <a:headEnd type="none" w="med" len="med"/>
                            <a:tailEnd type="none" w="med" len="med"/>
                          </a:ln>
                          <a:effectLst/>
                        </wps:spPr>
                        <wps:bodyPr upright="1"/>
                      </wps:wsp>
                    </wpg:wgp>
                  </a:graphicData>
                </a:graphic>
              </wp:anchor>
            </w:drawing>
          </mc:Choice>
          <mc:Fallback>
            <w:pict>
              <v:group id="组合 7" o:spid="_x0000_s1026" o:spt="203" style="position:absolute;left:0pt;margin-left:12.9pt;margin-top:99.85pt;height:143.15pt;width:426.75pt;z-index:251658240;mso-width-relative:page;mso-height-relative:page;" coordorigin="2142,13077" coordsize="8535,3099" o:gfxdata="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ms7/QtsA&#10;AAAKAQAADwAAAAAAAAABACAAAAAiAAAAZHJzL2Rvd25yZXYueG1sUEsBAhQAFAAAAAgAh07iQD8a&#10;sz05AwAA6AoAAA4AAAAAAAAAAQAgAAAAKgEAAGRycy9lMm9Eb2MueG1sUEsFBgAAAAAGAAYAWQEA&#10;ANUGAAAAAA==&#10;">
                <o:lock v:ext="edit" aspectratio="f"/>
                <v:roundrect id="自选图形 8" o:spid="_x0000_s1026" o:spt="2" style="position:absolute;left:2142;top:14133;height:2043;width:8535;" fillcolor="#FFFBF8" filled="t" stroked="t" coordsize="21600,21600" arcsize="0.166666666666667" o:gfxdata="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QF0xm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rPr>
                            <w:b/>
                            <w:szCs w:val="21"/>
                          </w:rPr>
                        </w:pPr>
                        <w:r>
                          <w:rPr>
                            <w:rFonts w:hint="eastAsia"/>
                            <w:b/>
                            <w:szCs w:val="21"/>
                          </w:rPr>
                          <w:t>会议审查： 药物、器械、科研项目、新技术临床试验，复审等</w:t>
                        </w:r>
                      </w:p>
                      <w:p>
                        <w:pPr>
                          <w:rPr>
                            <w:b/>
                            <w:szCs w:val="21"/>
                          </w:rPr>
                        </w:pPr>
                        <w:r>
                          <w:rPr>
                            <w:rFonts w:hint="eastAsia"/>
                            <w:b/>
                            <w:szCs w:val="21"/>
                          </w:rPr>
                          <w:t>快速审查： 科研申报、科研项目、二类新技术临床试验、</w:t>
                        </w:r>
                      </w:p>
                      <w:p>
                        <w:pPr>
                          <w:rPr>
                            <w:b/>
                            <w:szCs w:val="21"/>
                          </w:rPr>
                        </w:pPr>
                        <w:r>
                          <w:rPr>
                            <w:rFonts w:hint="eastAsia"/>
                            <w:b/>
                            <w:szCs w:val="21"/>
                          </w:rPr>
                          <w:t xml:space="preserve">           复审、跟踪审查等</w:t>
                        </w:r>
                      </w:p>
                      <w:p>
                        <w:pPr>
                          <w:rPr>
                            <w:b/>
                            <w:szCs w:val="21"/>
                          </w:rPr>
                        </w:pPr>
                        <w:r>
                          <w:rPr>
                            <w:rFonts w:hint="eastAsia"/>
                            <w:b/>
                            <w:szCs w:val="21"/>
                          </w:rPr>
                          <w:t>审查时间： 会议审查≤6周</w:t>
                        </w:r>
                      </w:p>
                      <w:p>
                        <w:pPr>
                          <w:ind w:firstLine="1157" w:firstLineChars="549"/>
                          <w:rPr>
                            <w:b/>
                            <w:szCs w:val="21"/>
                          </w:rPr>
                        </w:pPr>
                        <w:r>
                          <w:rPr>
                            <w:rFonts w:hint="eastAsia"/>
                            <w:b/>
                            <w:szCs w:val="21"/>
                          </w:rPr>
                          <w:t>快速审查≤4周</w:t>
                        </w:r>
                      </w:p>
                    </w:txbxContent>
                  </v:textbox>
                </v:roundrect>
                <v:shape id="自选图形 9" o:spid="_x0000_s1026" o:spt="66" type="#_x0000_t66" style="position:absolute;left:7650;top:13077;height:375;width:1125;" fillcolor="#FFFFFF" filled="t" stroked="t" coordsize="21600,21600" o:gfxdata="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nT5G8AAAA&#10;2gAAAA8AAAAAAAAAAQAgAAAAIgAAAGRycy9kb3ducmV2LnhtbFBLAQIUABQAAAAIAIdO4kAzLwWe&#10;OwAAADkAAAAQAAAAAAAAAAEAIAAAAAsBAABkcnMvc2hhcGV4bWwueG1sUEsFBgAAAAAGAAYAWwEA&#10;ALUDAAAAAA==&#10;" adj="5400,5400">
                  <v:fill on="t" focussize="0,0"/>
                  <v:stroke weight="2.25pt" color="#7030A0" joinstyle="miter" dashstyle="dash"/>
                  <v:imagedata o:title=""/>
                  <o:lock v:ext="edit" aspectratio="f"/>
                </v:shape>
                <v:shape id="自选图形 10" o:spid="_x0000_s1026" o:spt="66" type="#_x0000_t66" style="position:absolute;left:4324;top:13077;height:375;width:1125;" fillcolor="#FFFFFF" filled="t" stroked="t" coordsize="21600,21600" o:gfxdata="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6+oKvQAA&#10;ANoAAAAPAAAAAAAAAAEAIAAAACIAAABkcnMvZG93bnJldi54bWxQSwECFAAUAAAACACHTuJAMy8F&#10;njsAAAA5AAAAEAAAAAAAAAABACAAAAAMAQAAZHJzL3NoYXBleG1sLnhtbFBLBQYAAAAABgAGAFsB&#10;AAC2AwAAAAA=&#10;" adj="5400,5400">
                  <v:fill on="t" focussize="0,0"/>
                  <v:stroke weight="2.25pt" color="#7030A0" joinstyle="miter" dashstyle="dash"/>
                  <v:imagedata o:title=""/>
                  <o:lock v:ext="edit" aspectratio="f"/>
                </v:shape>
              </v:group>
            </w:pict>
          </mc:Fallback>
        </mc:AlternateContent>
      </w:r>
      <w:r>
        <w:drawing>
          <wp:inline distT="0" distB="0" distL="0" distR="0">
            <wp:extent cx="5434965" cy="1732915"/>
            <wp:effectExtent l="19050" t="0" r="13335"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p/>
    <w:p/>
    <w:p/>
    <w:p/>
    <w:p/>
    <w:p/>
    <w:p/>
    <w:p/>
    <w:p>
      <w:pPr>
        <w:pStyle w:val="4"/>
        <w:ind w:left="21" w:leftChars="10" w:firstLine="0" w:firstLineChars="0"/>
        <w:rPr>
          <w:rFonts w:ascii="宋体" w:hAnsi="宋体"/>
          <w:color w:val="000000"/>
          <w:szCs w:val="21"/>
        </w:rPr>
      </w:pPr>
      <w:r>
        <w:rPr>
          <w:rFonts w:hint="eastAsia" w:ascii="宋体" w:hAnsi="宋体"/>
          <w:b/>
          <w:color w:val="000000"/>
        </w:rPr>
        <w:t>三、</w:t>
      </w:r>
      <w:r>
        <w:rPr>
          <w:rFonts w:hint="eastAsia" w:ascii="宋体" w:hAnsi="宋体"/>
          <w:b/>
          <w:szCs w:val="21"/>
        </w:rPr>
        <w:t>申请/报告的类别</w:t>
      </w:r>
    </w:p>
    <w:p>
      <w:pPr>
        <w:pStyle w:val="4"/>
        <w:ind w:left="21" w:leftChars="10" w:firstLine="0" w:firstLineChars="0"/>
        <w:rPr>
          <w:rFonts w:ascii="宋体" w:hAnsi="宋体"/>
          <w:color w:val="000000"/>
          <w:szCs w:val="21"/>
        </w:rPr>
      </w:pPr>
      <w:r>
        <w:rPr>
          <w:rFonts w:hint="eastAsia" w:ascii="宋体" w:hAnsi="宋体"/>
          <w:color w:val="000000"/>
          <w:szCs w:val="21"/>
        </w:rPr>
        <w:t>3.1</w:t>
      </w:r>
      <w:r>
        <w:rPr>
          <w:rFonts w:ascii="宋体" w:hAnsi="宋体"/>
          <w:b/>
          <w:color w:val="000000"/>
          <w:szCs w:val="21"/>
        </w:rPr>
        <w:t xml:space="preserve"> 初始伦理审查</w:t>
      </w:r>
    </w:p>
    <w:p>
      <w:pPr>
        <w:pStyle w:val="4"/>
        <w:numPr>
          <w:ilvl w:val="0"/>
          <w:numId w:val="2"/>
        </w:numPr>
        <w:ind w:left="21" w:leftChars="10" w:firstLineChars="0"/>
        <w:rPr>
          <w:rFonts w:ascii="宋体" w:hAnsi="宋体"/>
          <w:szCs w:val="21"/>
        </w:rPr>
      </w:pPr>
      <w:r>
        <w:rPr>
          <w:rFonts w:hint="eastAsia" w:ascii="宋体" w:hAnsi="宋体"/>
          <w:szCs w:val="21"/>
        </w:rPr>
        <w:t>初始伦理审查申请：符合上述范围的研究项目，应在研究开始前提交伦理委员会审查，经批准后方可实施；“初始伦理审查申请”是指某项目首次向伦理委员会提交的审查申请；</w:t>
      </w:r>
    </w:p>
    <w:p>
      <w:pPr>
        <w:pStyle w:val="4"/>
        <w:numPr>
          <w:ilvl w:val="0"/>
          <w:numId w:val="2"/>
        </w:numPr>
        <w:ind w:left="21" w:leftChars="10" w:firstLineChars="0"/>
        <w:rPr>
          <w:rFonts w:ascii="宋体" w:hAnsi="宋体"/>
          <w:szCs w:val="21"/>
        </w:rPr>
      </w:pPr>
      <w:r>
        <w:rPr>
          <w:rFonts w:hint="eastAsia" w:ascii="宋体" w:hAnsi="宋体"/>
          <w:szCs w:val="21"/>
        </w:rPr>
        <w:t>免除伦理审查申请：符合本指南</w:t>
      </w:r>
      <w:r>
        <w:rPr>
          <w:rFonts w:hint="eastAsia" w:ascii="宋体" w:hAnsi="宋体"/>
          <w:b/>
          <w:szCs w:val="21"/>
        </w:rPr>
        <w:t>第八条</w:t>
      </w:r>
      <w:r>
        <w:rPr>
          <w:rFonts w:hint="eastAsia" w:ascii="宋体" w:hAnsi="宋体"/>
          <w:szCs w:val="21"/>
        </w:rPr>
        <w:t>规定的生物医学研究项目可以适用免除审查。研究者不能自行做出“免除伦理审查”的判断，应向伦理委员会提交免除审查申请，与研究方案等相关材料，由伦理委员会主任委员或授权者审核确定。</w:t>
      </w:r>
    </w:p>
    <w:p>
      <w:pPr>
        <w:pStyle w:val="4"/>
        <w:ind w:left="21" w:firstLine="0" w:firstLineChars="0"/>
        <w:rPr>
          <w:rFonts w:ascii="宋体" w:hAnsi="宋体"/>
          <w:color w:val="000000"/>
          <w:szCs w:val="21"/>
        </w:rPr>
      </w:pPr>
      <w:r>
        <w:rPr>
          <w:rFonts w:hint="eastAsia" w:ascii="宋体" w:hAnsi="宋体"/>
          <w:color w:val="000000"/>
          <w:szCs w:val="21"/>
        </w:rPr>
        <w:t xml:space="preserve">3.2 </w:t>
      </w:r>
      <w:r>
        <w:rPr>
          <w:rFonts w:ascii="宋体" w:hAnsi="宋体"/>
          <w:b/>
          <w:color w:val="000000"/>
          <w:szCs w:val="21"/>
        </w:rPr>
        <w:t xml:space="preserve">  跟踪审查</w:t>
      </w:r>
    </w:p>
    <w:p>
      <w:pPr>
        <w:pStyle w:val="4"/>
        <w:numPr>
          <w:ilvl w:val="0"/>
          <w:numId w:val="2"/>
        </w:numPr>
        <w:ind w:left="21" w:leftChars="10" w:firstLineChars="0"/>
        <w:rPr>
          <w:rFonts w:ascii="宋体" w:hAnsi="宋体"/>
          <w:color w:val="000000"/>
          <w:szCs w:val="21"/>
        </w:rPr>
      </w:pPr>
      <w:r>
        <w:rPr>
          <w:rFonts w:hint="eastAsia" w:ascii="宋体" w:hAnsi="宋体"/>
          <w:szCs w:val="21"/>
        </w:rPr>
        <w:t>修正方案审查申请：在研究</w:t>
      </w:r>
      <w:r>
        <w:rPr>
          <w:rFonts w:hint="eastAsia" w:ascii="宋体" w:hAnsi="宋体"/>
          <w:color w:val="000000"/>
          <w:szCs w:val="21"/>
        </w:rPr>
        <w:t>进行期间，变更主要研究者，对</w:t>
      </w:r>
      <w:r>
        <w:rPr>
          <w:rFonts w:hint="eastAsia" w:ascii="宋体" w:hAnsi="宋体"/>
          <w:szCs w:val="21"/>
        </w:rPr>
        <w:t>研究方案、知情同意书、招募材料等的任何修改，均要向</w:t>
      </w:r>
      <w:r>
        <w:rPr>
          <w:rFonts w:hint="eastAsia" w:ascii="宋体" w:hAnsi="宋体"/>
          <w:color w:val="000000"/>
          <w:szCs w:val="21"/>
        </w:rPr>
        <w:t>伦理委员会提交修正方案审查申请，经批准后执行。为避免对受试者的即刻危险，研究者可以先执行修改后的研究方案，事后及时向伦理委员会提交修改研究方案的情况及原因。</w:t>
      </w:r>
    </w:p>
    <w:p>
      <w:pPr>
        <w:pStyle w:val="4"/>
        <w:numPr>
          <w:ilvl w:val="0"/>
          <w:numId w:val="2"/>
        </w:numPr>
        <w:ind w:firstLineChars="0"/>
        <w:rPr>
          <w:rFonts w:ascii="宋体" w:hAnsi="宋体"/>
          <w:szCs w:val="21"/>
        </w:rPr>
      </w:pPr>
      <w:r>
        <w:rPr>
          <w:rFonts w:hint="eastAsia" w:ascii="宋体" w:hAnsi="宋体"/>
          <w:szCs w:val="21"/>
        </w:rPr>
        <w:t>年度/定期跟踪审查报告：</w:t>
      </w:r>
    </w:p>
    <w:p>
      <w:pPr>
        <w:pStyle w:val="4"/>
        <w:numPr>
          <w:ilvl w:val="2"/>
          <w:numId w:val="2"/>
        </w:numPr>
        <w:ind w:firstLineChars="0"/>
        <w:rPr>
          <w:rFonts w:ascii="宋体" w:hAnsi="宋体"/>
          <w:szCs w:val="21"/>
        </w:rPr>
      </w:pPr>
      <w:r>
        <w:rPr>
          <w:rFonts w:hint="eastAsia" w:ascii="宋体" w:hAnsi="宋体"/>
          <w:szCs w:val="21"/>
        </w:rPr>
        <w:t>申请人</w:t>
      </w:r>
      <w:r>
        <w:rPr>
          <w:rFonts w:hint="eastAsia" w:ascii="宋体" w:hAnsi="宋体"/>
          <w:color w:val="000000"/>
          <w:szCs w:val="21"/>
        </w:rPr>
        <w:t>应在“伦理审查批件”规定的</w:t>
      </w:r>
      <w:r>
        <w:rPr>
          <w:rFonts w:hint="eastAsia" w:ascii="宋体" w:hAnsi="宋体"/>
          <w:szCs w:val="21"/>
        </w:rPr>
        <w:t>年度/定期跟踪审查日期前1个月，提交年度/定期跟踪审查报告；</w:t>
      </w:r>
    </w:p>
    <w:p>
      <w:pPr>
        <w:pStyle w:val="4"/>
        <w:numPr>
          <w:ilvl w:val="2"/>
          <w:numId w:val="2"/>
        </w:numPr>
        <w:ind w:firstLineChars="0"/>
        <w:rPr>
          <w:rFonts w:ascii="宋体" w:hAnsi="宋体"/>
          <w:szCs w:val="21"/>
        </w:rPr>
      </w:pPr>
      <w:r>
        <w:rPr>
          <w:rFonts w:hint="eastAsia" w:ascii="宋体" w:hAnsi="宋体"/>
          <w:szCs w:val="21"/>
        </w:rPr>
        <w:t>申办者应向组长单位伦理委员会提交各中心研究进展的汇总报告；</w:t>
      </w:r>
    </w:p>
    <w:p>
      <w:pPr>
        <w:pStyle w:val="4"/>
        <w:numPr>
          <w:ilvl w:val="2"/>
          <w:numId w:val="2"/>
        </w:numPr>
        <w:ind w:firstLineChars="0"/>
        <w:rPr>
          <w:rFonts w:ascii="宋体" w:hAnsi="宋体"/>
          <w:szCs w:val="21"/>
        </w:rPr>
      </w:pPr>
      <w:r>
        <w:rPr>
          <w:rFonts w:hint="eastAsia" w:ascii="宋体" w:hAnsi="宋体"/>
          <w:szCs w:val="21"/>
        </w:rPr>
        <w:t>当出现任何可能显著影响研究进行、或增加受试者风险的情况时，应及时报告伦理委员会；</w:t>
      </w:r>
    </w:p>
    <w:p>
      <w:pPr>
        <w:pStyle w:val="4"/>
        <w:numPr>
          <w:ilvl w:val="2"/>
          <w:numId w:val="2"/>
        </w:numPr>
        <w:ind w:firstLineChars="0"/>
        <w:rPr>
          <w:rFonts w:ascii="宋体" w:hAnsi="宋体"/>
          <w:szCs w:val="21"/>
        </w:rPr>
      </w:pPr>
      <w:r>
        <w:rPr>
          <w:rFonts w:hint="eastAsia" w:ascii="宋体" w:hAnsi="宋体"/>
          <w:szCs w:val="21"/>
        </w:rPr>
        <w:t>任何可能影响研究进行、或增加受试者风险的改变。</w:t>
      </w:r>
    </w:p>
    <w:p>
      <w:pPr>
        <w:pStyle w:val="4"/>
        <w:numPr>
          <w:ilvl w:val="0"/>
          <w:numId w:val="3"/>
        </w:numPr>
        <w:tabs>
          <w:tab w:val="left" w:pos="862"/>
        </w:tabs>
        <w:ind w:firstLineChars="0"/>
      </w:pPr>
      <w:r>
        <w:rPr>
          <w:rFonts w:hint="eastAsia" w:ascii="宋体" w:hAnsi="宋体"/>
          <w:szCs w:val="21"/>
        </w:rPr>
        <w:t>严重不良事件</w:t>
      </w:r>
      <w:r>
        <w:rPr>
          <w:rFonts w:hint="eastAsia" w:ascii="宋体" w:hAnsi="宋体"/>
          <w:color w:val="FF0000"/>
          <w:szCs w:val="21"/>
        </w:rPr>
        <w:t>/非预期严重不良事件</w:t>
      </w:r>
      <w:r>
        <w:rPr>
          <w:rFonts w:hint="eastAsia" w:ascii="宋体" w:hAnsi="宋体"/>
          <w:szCs w:val="21"/>
        </w:rPr>
        <w:t>报告：</w:t>
      </w:r>
    </w:p>
    <w:p>
      <w:pPr>
        <w:pStyle w:val="4"/>
        <w:numPr>
          <w:ilvl w:val="1"/>
          <w:numId w:val="3"/>
        </w:numPr>
        <w:tabs>
          <w:tab w:val="left" w:pos="420"/>
        </w:tabs>
        <w:ind w:firstLineChars="0"/>
        <w:rPr>
          <w:rFonts w:ascii="宋体" w:hAnsi="宋体"/>
          <w:szCs w:val="21"/>
        </w:rPr>
      </w:pPr>
      <w:r>
        <w:rPr>
          <w:rFonts w:hint="eastAsia" w:ascii="宋体" w:hAnsi="宋体"/>
          <w:szCs w:val="21"/>
        </w:rPr>
        <w:t>研究者报告临床研究过程中发生的严重不良事件、非预期严重不良事件；</w:t>
      </w:r>
    </w:p>
    <w:p>
      <w:pPr>
        <w:pStyle w:val="4"/>
        <w:numPr>
          <w:ilvl w:val="1"/>
          <w:numId w:val="3"/>
        </w:numPr>
        <w:tabs>
          <w:tab w:val="left" w:pos="420"/>
        </w:tabs>
        <w:ind w:firstLineChars="0"/>
      </w:pPr>
      <w:r>
        <w:rPr>
          <w:rFonts w:hint="eastAsia" w:ascii="宋体" w:hAnsi="宋体"/>
          <w:szCs w:val="21"/>
        </w:rPr>
        <w:t>严重不良事件</w:t>
      </w:r>
      <w:r>
        <w:rPr>
          <w:rFonts w:hint="eastAsia" w:ascii="宋体" w:hAnsi="宋体"/>
          <w:color w:val="000000"/>
          <w:szCs w:val="21"/>
        </w:rPr>
        <w:t>应在获知后</w:t>
      </w:r>
      <w:r>
        <w:rPr>
          <w:rFonts w:hint="eastAsia" w:ascii="宋体" w:hAnsi="宋体"/>
          <w:b/>
          <w:color w:val="FF0000"/>
          <w:szCs w:val="21"/>
        </w:rPr>
        <w:t>15个</w:t>
      </w:r>
      <w:r>
        <w:rPr>
          <w:rFonts w:hint="eastAsia" w:ascii="宋体" w:hAnsi="宋体"/>
          <w:color w:val="000000"/>
          <w:szCs w:val="21"/>
        </w:rPr>
        <w:t>工作日内向伦理委员会</w:t>
      </w:r>
      <w:r>
        <w:rPr>
          <w:rFonts w:hint="eastAsia" w:ascii="宋体" w:hAnsi="宋体"/>
          <w:szCs w:val="21"/>
        </w:rPr>
        <w:t>报告；临床试验发生死亡事件，应</w:t>
      </w:r>
      <w:r>
        <w:rPr>
          <w:rFonts w:hint="eastAsia" w:ascii="宋体" w:hAnsi="宋体"/>
          <w:color w:val="000000"/>
          <w:szCs w:val="21"/>
        </w:rPr>
        <w:t>在获知后</w:t>
      </w:r>
      <w:r>
        <w:rPr>
          <w:rFonts w:hint="eastAsia" w:ascii="宋体" w:hAnsi="宋体"/>
          <w:b/>
          <w:color w:val="FF0000"/>
          <w:szCs w:val="21"/>
        </w:rPr>
        <w:t>7个</w:t>
      </w:r>
      <w:r>
        <w:rPr>
          <w:rFonts w:hint="eastAsia" w:ascii="宋体" w:hAnsi="宋体"/>
          <w:szCs w:val="21"/>
        </w:rPr>
        <w:t>工作日</w:t>
      </w:r>
      <w:r>
        <w:rPr>
          <w:rFonts w:hint="eastAsia" w:ascii="宋体" w:hAnsi="宋体"/>
          <w:color w:val="000000"/>
          <w:szCs w:val="21"/>
        </w:rPr>
        <w:t>内报告伦理委员会。</w:t>
      </w:r>
    </w:p>
    <w:p>
      <w:pPr>
        <w:pStyle w:val="4"/>
        <w:numPr>
          <w:ilvl w:val="1"/>
          <w:numId w:val="3"/>
        </w:numPr>
        <w:tabs>
          <w:tab w:val="left" w:pos="420"/>
        </w:tabs>
        <w:ind w:firstLineChars="0"/>
        <w:rPr>
          <w:rFonts w:ascii="宋体" w:hAnsi="宋体"/>
          <w:szCs w:val="21"/>
        </w:rPr>
      </w:pPr>
      <w:r>
        <w:rPr>
          <w:rFonts w:hint="eastAsia" w:ascii="宋体" w:hAnsi="宋体"/>
          <w:szCs w:val="21"/>
        </w:rPr>
        <w:t>报告范围：</w:t>
      </w:r>
    </w:p>
    <w:p>
      <w:pPr>
        <w:pStyle w:val="4"/>
        <w:numPr>
          <w:ilvl w:val="2"/>
          <w:numId w:val="3"/>
        </w:numPr>
        <w:tabs>
          <w:tab w:val="left" w:pos="420"/>
          <w:tab w:val="left" w:pos="862"/>
        </w:tabs>
        <w:ind w:firstLineChars="0"/>
        <w:rPr>
          <w:rFonts w:ascii="宋体" w:hAnsi="宋体"/>
          <w:szCs w:val="21"/>
        </w:rPr>
      </w:pPr>
      <w:r>
        <w:rPr>
          <w:rFonts w:hint="eastAsia" w:ascii="宋体" w:hAnsi="宋体"/>
          <w:szCs w:val="21"/>
        </w:rPr>
        <w:t>内部不良事件：严重不良事件、非预期严重不良事件；</w:t>
      </w:r>
    </w:p>
    <w:p>
      <w:pPr>
        <w:pStyle w:val="4"/>
        <w:numPr>
          <w:ilvl w:val="2"/>
          <w:numId w:val="3"/>
        </w:numPr>
        <w:tabs>
          <w:tab w:val="left" w:pos="420"/>
          <w:tab w:val="left" w:pos="862"/>
        </w:tabs>
        <w:ind w:firstLineChars="0"/>
        <w:rPr>
          <w:rFonts w:ascii="宋体" w:hAnsi="宋体"/>
          <w:szCs w:val="21"/>
        </w:rPr>
      </w:pPr>
      <w:r>
        <w:rPr>
          <w:rFonts w:hint="eastAsia" w:ascii="宋体" w:hAnsi="宋体"/>
          <w:szCs w:val="21"/>
        </w:rPr>
        <w:t>内部非预期不良事件；</w:t>
      </w:r>
    </w:p>
    <w:p>
      <w:pPr>
        <w:pStyle w:val="4"/>
        <w:numPr>
          <w:ilvl w:val="2"/>
          <w:numId w:val="3"/>
        </w:numPr>
        <w:tabs>
          <w:tab w:val="left" w:pos="420"/>
          <w:tab w:val="left" w:pos="862"/>
        </w:tabs>
        <w:ind w:firstLineChars="0"/>
        <w:rPr>
          <w:rFonts w:ascii="宋体" w:hAnsi="宋体"/>
          <w:szCs w:val="21"/>
        </w:rPr>
      </w:pPr>
      <w:r>
        <w:rPr>
          <w:rFonts w:hint="eastAsia" w:ascii="宋体" w:hAnsi="宋体"/>
          <w:szCs w:val="21"/>
        </w:rPr>
        <w:t>外部不良事件：非预期和意外的严重不良事件；</w:t>
      </w:r>
    </w:p>
    <w:p>
      <w:pPr>
        <w:pStyle w:val="4"/>
        <w:numPr>
          <w:ilvl w:val="2"/>
          <w:numId w:val="3"/>
        </w:numPr>
        <w:tabs>
          <w:tab w:val="left" w:pos="420"/>
          <w:tab w:val="left" w:pos="862"/>
        </w:tabs>
        <w:ind w:firstLineChars="0"/>
        <w:rPr>
          <w:rFonts w:ascii="宋体" w:hAnsi="宋体"/>
          <w:szCs w:val="21"/>
        </w:rPr>
      </w:pPr>
      <w:r>
        <w:rPr>
          <w:rFonts w:hint="eastAsia" w:ascii="宋体" w:hAnsi="宋体"/>
          <w:szCs w:val="21"/>
        </w:rPr>
        <w:t>其他与研究相关的非预期信息，或受试者或其他人的风险或伤害增加的信息；</w:t>
      </w:r>
    </w:p>
    <w:p>
      <w:pPr>
        <w:pStyle w:val="4"/>
        <w:numPr>
          <w:ilvl w:val="2"/>
          <w:numId w:val="3"/>
        </w:numPr>
        <w:tabs>
          <w:tab w:val="left" w:pos="420"/>
          <w:tab w:val="left" w:pos="862"/>
        </w:tabs>
        <w:ind w:firstLineChars="0"/>
        <w:rPr>
          <w:rFonts w:ascii="宋体" w:hAnsi="宋体"/>
          <w:szCs w:val="21"/>
        </w:rPr>
      </w:pPr>
      <w:r>
        <w:rPr>
          <w:rFonts w:hint="eastAsia" w:ascii="宋体" w:hAnsi="宋体"/>
          <w:b/>
          <w:szCs w:val="21"/>
        </w:rPr>
        <w:t>提醒</w:t>
      </w:r>
      <w:r>
        <w:rPr>
          <w:rFonts w:hint="eastAsia" w:ascii="宋体" w:hAnsi="宋体"/>
          <w:szCs w:val="21"/>
        </w:rPr>
        <w:t>：非预期的与受试者或其他人风险有关的事件报告需要同时报告药物临床试验机构与国家药监局；</w:t>
      </w:r>
    </w:p>
    <w:p>
      <w:pPr>
        <w:pStyle w:val="4"/>
        <w:numPr>
          <w:ilvl w:val="2"/>
          <w:numId w:val="3"/>
        </w:numPr>
        <w:tabs>
          <w:tab w:val="left" w:pos="420"/>
          <w:tab w:val="left" w:pos="862"/>
        </w:tabs>
        <w:ind w:firstLineChars="0"/>
        <w:rPr>
          <w:rFonts w:ascii="宋体" w:hAnsi="宋体"/>
          <w:szCs w:val="21"/>
        </w:rPr>
      </w:pPr>
      <w:r>
        <w:rPr>
          <w:rFonts w:hint="eastAsia" w:ascii="宋体" w:hAnsi="宋体"/>
          <w:b/>
          <w:szCs w:val="21"/>
        </w:rPr>
        <w:t>报告时限</w:t>
      </w:r>
      <w:r>
        <w:rPr>
          <w:rFonts w:hint="eastAsia" w:ascii="宋体" w:hAnsi="宋体"/>
          <w:szCs w:val="21"/>
        </w:rPr>
        <w:t>：发现后15个工作日内</w:t>
      </w:r>
    </w:p>
    <w:p>
      <w:pPr>
        <w:pStyle w:val="4"/>
        <w:numPr>
          <w:ilvl w:val="1"/>
          <w:numId w:val="3"/>
        </w:numPr>
        <w:tabs>
          <w:tab w:val="left" w:pos="420"/>
        </w:tabs>
        <w:ind w:firstLineChars="0"/>
        <w:rPr>
          <w:rFonts w:ascii="宋体" w:hAnsi="宋体"/>
          <w:szCs w:val="21"/>
        </w:rPr>
      </w:pPr>
      <w:r>
        <w:rPr>
          <w:rFonts w:hint="eastAsia" w:ascii="宋体" w:hAnsi="宋体"/>
          <w:szCs w:val="21"/>
        </w:rPr>
        <w:t>发生严重不良事件、非预期严重不良事件，均使用“严重不良事件报告表”。</w:t>
      </w:r>
    </w:p>
    <w:p>
      <w:pPr>
        <w:pStyle w:val="4"/>
        <w:numPr>
          <w:ilvl w:val="1"/>
          <w:numId w:val="3"/>
        </w:numPr>
        <w:tabs>
          <w:tab w:val="left" w:pos="420"/>
        </w:tabs>
        <w:ind w:firstLineChars="0"/>
        <w:rPr>
          <w:rFonts w:ascii="宋体" w:hAnsi="宋体"/>
          <w:szCs w:val="21"/>
          <w:highlight w:val="yellow"/>
        </w:rPr>
      </w:pPr>
      <w:r>
        <w:rPr>
          <w:rFonts w:hint="eastAsia" w:ascii="宋体" w:hAnsi="宋体"/>
          <w:szCs w:val="21"/>
        </w:rPr>
        <w:t>在递交研究项目的安全性资料时，需要填写“各中心发生的（非预期）严重不良事件汇总表”（表格见申办者/研究者下载专区）。</w:t>
      </w:r>
    </w:p>
    <w:p>
      <w:pPr>
        <w:pStyle w:val="4"/>
        <w:numPr>
          <w:ilvl w:val="0"/>
          <w:numId w:val="2"/>
        </w:numPr>
        <w:ind w:firstLineChars="0"/>
        <w:rPr>
          <w:rFonts w:ascii="宋体" w:hAnsi="宋体"/>
          <w:szCs w:val="21"/>
        </w:rPr>
      </w:pPr>
      <w:r>
        <w:rPr>
          <w:rFonts w:hint="eastAsia" w:ascii="宋体" w:hAnsi="宋体"/>
          <w:color w:val="000000"/>
          <w:szCs w:val="21"/>
        </w:rPr>
        <w:t>违背方案报告：</w:t>
      </w:r>
      <w:r>
        <w:rPr>
          <w:rFonts w:hint="eastAsia" w:ascii="宋体" w:hAnsi="宋体"/>
          <w:szCs w:val="21"/>
        </w:rPr>
        <w:t>需要报告的违背方案情况包括：</w:t>
      </w:r>
    </w:p>
    <w:p>
      <w:pPr>
        <w:pStyle w:val="4"/>
        <w:numPr>
          <w:ilvl w:val="2"/>
          <w:numId w:val="2"/>
        </w:numPr>
        <w:ind w:firstLineChars="0"/>
        <w:rPr>
          <w:rFonts w:ascii="宋体" w:hAnsi="宋体"/>
          <w:szCs w:val="21"/>
        </w:rPr>
      </w:pPr>
      <w:r>
        <w:rPr>
          <w:rFonts w:hint="eastAsia" w:ascii="宋体" w:hAnsi="宋体"/>
          <w:szCs w:val="21"/>
        </w:rPr>
        <w:t>严重违背方案：研究纳入了不符合纳入标准或符合排除标准的受试者，符合中止试验规定而未让受试者退出研究，给予错误治疗或剂量，给予方案禁止的合并用药等没有遵从方案开展研究的情况，或可能对受试者的权益</w:t>
      </w:r>
      <w:r>
        <w:rPr>
          <w:rFonts w:ascii="宋体" w:hAnsi="宋体"/>
          <w:szCs w:val="21"/>
        </w:rPr>
        <w:t>/</w:t>
      </w:r>
      <w:r>
        <w:rPr>
          <w:rFonts w:hint="eastAsia" w:ascii="宋体" w:hAnsi="宋体"/>
          <w:szCs w:val="21"/>
        </w:rPr>
        <w:t>健康以及研究的科学性造成显著影响等违背GCP原则的情况。</w:t>
      </w:r>
    </w:p>
    <w:p>
      <w:pPr>
        <w:pStyle w:val="4"/>
        <w:numPr>
          <w:ilvl w:val="2"/>
          <w:numId w:val="2"/>
        </w:numPr>
        <w:ind w:firstLineChars="0"/>
        <w:rPr>
          <w:rFonts w:ascii="宋体" w:hAnsi="宋体"/>
          <w:szCs w:val="21"/>
        </w:rPr>
      </w:pPr>
      <w:r>
        <w:rPr>
          <w:rFonts w:hint="eastAsia" w:ascii="宋体" w:hAnsi="宋体"/>
          <w:szCs w:val="21"/>
        </w:rPr>
        <w:t>持续违背方案，或研究者不配合监察/稽查：研究者违背GCP原则、没有遵从方案开展研究，可能对受试者的权益/健康、以及研究的科学性造成显著影响的情况；或对违背方案事件不予纠正，重复出现同样的违背方案情况。</w:t>
      </w:r>
    </w:p>
    <w:p>
      <w:pPr>
        <w:pStyle w:val="4"/>
        <w:numPr>
          <w:ilvl w:val="2"/>
          <w:numId w:val="2"/>
        </w:numPr>
        <w:ind w:firstLineChars="0"/>
        <w:rPr>
          <w:rFonts w:ascii="宋体" w:hAnsi="宋体"/>
          <w:szCs w:val="21"/>
        </w:rPr>
      </w:pPr>
      <w:r>
        <w:rPr>
          <w:rFonts w:hint="eastAsia" w:ascii="宋体" w:hAnsi="宋体"/>
          <w:szCs w:val="21"/>
        </w:rPr>
        <w:t>为避免研究对受试者的即刻危险，研究者可在伦理委员会批准前偏离研究方案，事后以“违背方案报告”的方式，向伦理委员会报告任何偏离已经批准方案之处并作解释。</w:t>
      </w:r>
    </w:p>
    <w:p>
      <w:pPr>
        <w:pStyle w:val="4"/>
        <w:numPr>
          <w:ilvl w:val="2"/>
          <w:numId w:val="2"/>
        </w:numPr>
        <w:ind w:firstLineChars="0"/>
        <w:rPr>
          <w:rFonts w:ascii="宋体" w:hAnsi="宋体"/>
          <w:szCs w:val="21"/>
        </w:rPr>
      </w:pPr>
      <w:r>
        <w:rPr>
          <w:rFonts w:hint="eastAsia" w:ascii="宋体" w:hAnsi="宋体"/>
          <w:szCs w:val="21"/>
        </w:rPr>
        <w:t>对于不属于严重违背与持续违背方案的报告：每3个月报告一次。</w:t>
      </w:r>
    </w:p>
    <w:p>
      <w:pPr>
        <w:pStyle w:val="4"/>
        <w:numPr>
          <w:ilvl w:val="0"/>
          <w:numId w:val="2"/>
        </w:numPr>
        <w:ind w:left="21" w:leftChars="10" w:firstLineChars="0"/>
        <w:rPr>
          <w:rFonts w:ascii="宋体" w:hAnsi="宋体"/>
          <w:color w:val="000000"/>
          <w:szCs w:val="21"/>
        </w:rPr>
      </w:pPr>
      <w:r>
        <w:rPr>
          <w:rFonts w:hint="eastAsia" w:ascii="宋体" w:hAnsi="宋体"/>
          <w:color w:val="000000"/>
          <w:szCs w:val="21"/>
        </w:rPr>
        <w:t>暂停/提前终止研究报告：研究者/申办者暂停或提前终止</w:t>
      </w:r>
      <w:r>
        <w:rPr>
          <w:rFonts w:hint="eastAsia" w:ascii="宋体" w:hAnsi="宋体"/>
          <w:szCs w:val="21"/>
        </w:rPr>
        <w:t>临床</w:t>
      </w:r>
      <w:r>
        <w:rPr>
          <w:rFonts w:hint="eastAsia" w:ascii="宋体" w:hAnsi="宋体"/>
          <w:color w:val="000000"/>
          <w:szCs w:val="21"/>
        </w:rPr>
        <w:t>研究，应及时向伦理委员会</w:t>
      </w:r>
      <w:r>
        <w:rPr>
          <w:rFonts w:hint="eastAsia" w:ascii="宋体" w:hAnsi="宋体"/>
          <w:szCs w:val="21"/>
        </w:rPr>
        <w:t>报告。</w:t>
      </w:r>
    </w:p>
    <w:p>
      <w:pPr>
        <w:pStyle w:val="4"/>
        <w:numPr>
          <w:ilvl w:val="0"/>
          <w:numId w:val="2"/>
        </w:numPr>
        <w:ind w:left="21" w:leftChars="10" w:firstLineChars="0"/>
        <w:rPr>
          <w:rFonts w:ascii="宋体" w:hAnsi="宋体"/>
          <w:color w:val="000000"/>
          <w:szCs w:val="21"/>
        </w:rPr>
      </w:pPr>
      <w:r>
        <w:rPr>
          <w:rFonts w:hint="eastAsia" w:ascii="宋体" w:hAnsi="宋体"/>
          <w:szCs w:val="21"/>
        </w:rPr>
        <w:t>结题报告：完成临床</w:t>
      </w:r>
      <w:r>
        <w:rPr>
          <w:rFonts w:hint="eastAsia" w:ascii="宋体" w:hAnsi="宋体"/>
          <w:color w:val="000000"/>
          <w:szCs w:val="21"/>
        </w:rPr>
        <w:t>研究，应及时向伦理委员会</w:t>
      </w:r>
      <w:r>
        <w:rPr>
          <w:rFonts w:hint="eastAsia" w:ascii="宋体" w:hAnsi="宋体"/>
          <w:szCs w:val="21"/>
        </w:rPr>
        <w:t>报告。</w:t>
      </w:r>
    </w:p>
    <w:p>
      <w:pPr>
        <w:pStyle w:val="4"/>
        <w:ind w:firstLine="0" w:firstLineChars="0"/>
        <w:rPr>
          <w:rFonts w:ascii="宋体" w:hAnsi="宋体"/>
          <w:b/>
          <w:szCs w:val="21"/>
        </w:rPr>
      </w:pPr>
      <w:r>
        <w:rPr>
          <w:rFonts w:ascii="宋体" w:hAnsi="宋体"/>
          <w:b/>
          <w:szCs w:val="21"/>
        </w:rPr>
        <w:t>3.3</w:t>
      </w:r>
      <w:r>
        <w:rPr>
          <w:rFonts w:hint="eastAsia" w:ascii="宋体" w:hAnsi="宋体"/>
          <w:b/>
          <w:szCs w:val="21"/>
        </w:rPr>
        <w:t>复审</w:t>
      </w:r>
    </w:p>
    <w:p>
      <w:pPr>
        <w:pStyle w:val="4"/>
        <w:numPr>
          <w:ilvl w:val="0"/>
          <w:numId w:val="2"/>
        </w:numPr>
        <w:ind w:left="21" w:leftChars="10" w:firstLineChars="0"/>
        <w:rPr>
          <w:rFonts w:ascii="宋体" w:hAnsi="宋体"/>
          <w:color w:val="000000"/>
          <w:szCs w:val="21"/>
        </w:rPr>
      </w:pPr>
      <w:r>
        <w:rPr>
          <w:rFonts w:hint="eastAsia" w:ascii="宋体" w:hAnsi="宋体"/>
          <w:szCs w:val="21"/>
        </w:rPr>
        <w:t>按审查意见修正方案的再次送审（复审</w:t>
      </w:r>
      <w:r>
        <w:rPr>
          <w:rFonts w:hint="eastAsia" w:ascii="宋体" w:hAnsi="宋体"/>
          <w:color w:val="000000"/>
          <w:szCs w:val="21"/>
        </w:rPr>
        <w:t>）：上述初始审查和跟踪审查后，按伦理审查意见“作必要的修正后同意”、“作必要的修正后重审”，对方案进行修改后，应以“复审申请”的方式再次提交伦理委员会审查，经批准后方可实施；如果对伦理审查意见有不同意见，可以“复审申请”的方式申诉不同意见，请伦理委员会重新考虑决定。</w:t>
      </w:r>
    </w:p>
    <w:p>
      <w:pPr>
        <w:pStyle w:val="4"/>
        <w:ind w:left="21" w:firstLine="0" w:firstLineChars="0"/>
        <w:rPr>
          <w:rFonts w:ascii="宋体" w:hAnsi="宋体"/>
          <w:szCs w:val="21"/>
        </w:rPr>
      </w:pPr>
    </w:p>
    <w:p>
      <w:pPr>
        <w:pStyle w:val="4"/>
        <w:ind w:left="21" w:firstLine="0" w:firstLineChars="0"/>
        <w:rPr>
          <w:rFonts w:ascii="宋体" w:hAnsi="宋体"/>
          <w:b/>
          <w:color w:val="000000"/>
          <w:szCs w:val="21"/>
        </w:rPr>
      </w:pPr>
      <w:r>
        <w:rPr>
          <w:rFonts w:hint="eastAsia" w:ascii="宋体" w:hAnsi="宋体"/>
          <w:b/>
          <w:szCs w:val="21"/>
        </w:rPr>
        <w:t>四、提交伦理审查的流程</w:t>
      </w:r>
    </w:p>
    <w:p>
      <w:pPr>
        <w:pStyle w:val="4"/>
        <w:ind w:left="21" w:firstLine="0" w:firstLineChars="0"/>
        <w:rPr>
          <w:rFonts w:ascii="宋体" w:hAnsi="宋体"/>
          <w:b/>
          <w:szCs w:val="21"/>
        </w:rPr>
      </w:pPr>
      <w:r>
        <w:rPr>
          <w:rFonts w:ascii="宋体" w:hAnsi="宋体"/>
          <w:b/>
          <w:szCs w:val="21"/>
        </w:rPr>
        <w:t xml:space="preserve">4.1. </w:t>
      </w:r>
      <w:r>
        <w:rPr>
          <w:rFonts w:hint="eastAsia" w:ascii="宋体" w:hAnsi="宋体"/>
          <w:b/>
          <w:szCs w:val="21"/>
        </w:rPr>
        <w:t>提交送审文件</w:t>
      </w:r>
    </w:p>
    <w:p>
      <w:pPr>
        <w:widowControl/>
        <w:numPr>
          <w:ilvl w:val="0"/>
          <w:numId w:val="4"/>
        </w:numPr>
        <w:tabs>
          <w:tab w:val="left" w:pos="420"/>
        </w:tabs>
        <w:spacing w:line="357" w:lineRule="atLeast"/>
        <w:ind w:left="21" w:leftChars="10"/>
        <w:jc w:val="left"/>
        <w:rPr>
          <w:rFonts w:ascii="宋体" w:hAnsi="宋体"/>
          <w:color w:val="000000"/>
          <w:szCs w:val="21"/>
        </w:rPr>
      </w:pPr>
      <w:r>
        <w:rPr>
          <w:rFonts w:hint="eastAsia" w:ascii="宋体" w:hAnsi="宋体"/>
          <w:color w:val="000000"/>
          <w:szCs w:val="21"/>
        </w:rPr>
        <w:t>申请人需要在</w:t>
      </w:r>
      <w:r>
        <w:rPr>
          <w:rFonts w:ascii="微软雅黑" w:hAnsi="微软雅黑" w:eastAsia="微软雅黑" w:cs="微软雅黑"/>
          <w:bCs/>
          <w:color w:val="333333"/>
          <w:szCs w:val="21"/>
          <w:shd w:val="clear" w:color="auto" w:fill="F9F9F9"/>
        </w:rPr>
        <w:t>首都医科大学附属北京天坛医院</w:t>
      </w:r>
      <w:r>
        <w:rPr>
          <w:rFonts w:hint="eastAsia" w:ascii="微软雅黑" w:hAnsi="微软雅黑" w:eastAsia="微软雅黑" w:cs="微软雅黑"/>
          <w:bCs/>
          <w:color w:val="333333"/>
          <w:szCs w:val="21"/>
          <w:shd w:val="clear" w:color="auto" w:fill="F9F9F9"/>
        </w:rPr>
        <w:t>® </w:t>
      </w:r>
      <w:r>
        <w:rPr>
          <w:rFonts w:ascii="微软雅黑" w:hAnsi="微软雅黑" w:eastAsia="微软雅黑" w:cs="微软雅黑"/>
          <w:bCs/>
          <w:color w:val="333333"/>
          <w:szCs w:val="21"/>
          <w:shd w:val="clear" w:color="auto" w:fill="F9F9F9"/>
        </w:rPr>
        <w:t>CTMS</w:t>
      </w:r>
      <w:r>
        <w:rPr>
          <w:rFonts w:hint="eastAsia" w:ascii="微软雅黑" w:hAnsi="微软雅黑" w:eastAsia="微软雅黑" w:cs="微软雅黑"/>
          <w:bCs/>
          <w:color w:val="333333"/>
          <w:szCs w:val="21"/>
          <w:shd w:val="clear" w:color="auto" w:fill="F9F9F9"/>
        </w:rPr>
        <w:t>系统上填报，</w:t>
      </w:r>
      <w:r>
        <w:rPr>
          <w:rFonts w:ascii="Arial" w:hAnsi="Arial" w:eastAsia="宋体" w:cs="Arial"/>
          <w:color w:val="000000"/>
          <w:kern w:val="0"/>
          <w:szCs w:val="21"/>
        </w:rPr>
        <w:t> 您在</w:t>
      </w:r>
      <w:r>
        <w:rPr>
          <w:rFonts w:hint="eastAsia" w:ascii="Arial" w:hAnsi="Arial" w:eastAsia="宋体" w:cs="Arial"/>
          <w:color w:val="000000"/>
          <w:kern w:val="0"/>
          <w:szCs w:val="21"/>
        </w:rPr>
        <w:t>医院可以用</w:t>
      </w:r>
      <w:r>
        <w:rPr>
          <w:rFonts w:ascii="Arial" w:hAnsi="Arial" w:eastAsia="宋体" w:cs="Arial"/>
          <w:color w:val="000000"/>
          <w:kern w:val="0"/>
          <w:szCs w:val="21"/>
        </w:rPr>
        <w:t>内网访问地址：</w:t>
      </w:r>
      <w:r>
        <w:fldChar w:fldCharType="begin"/>
      </w:r>
      <w:r>
        <w:instrText xml:space="preserve"> HYPERLINK "http://172.28.10.24" </w:instrText>
      </w:r>
      <w:r>
        <w:fldChar w:fldCharType="separate"/>
      </w:r>
      <w:r>
        <w:rPr>
          <w:rStyle w:val="9"/>
          <w:rFonts w:ascii="Arial" w:hAnsi="Arial" w:eastAsia="宋体" w:cs="Arial"/>
          <w:kern w:val="0"/>
          <w:szCs w:val="21"/>
        </w:rPr>
        <w:t>http://</w:t>
      </w:r>
      <w:r>
        <w:rPr>
          <w:rStyle w:val="9"/>
          <w:rFonts w:hint="eastAsia" w:ascii="Arial" w:hAnsi="Arial" w:eastAsia="宋体" w:cs="Arial"/>
          <w:kern w:val="0"/>
          <w:szCs w:val="21"/>
        </w:rPr>
        <w:t>1</w:t>
      </w:r>
      <w:r>
        <w:rPr>
          <w:rStyle w:val="9"/>
          <w:rFonts w:hint="eastAsia" w:ascii="Arial" w:hAnsi="Arial" w:eastAsia="宋体" w:cs="Arial"/>
          <w:kern w:val="0"/>
          <w:szCs w:val="21"/>
        </w:rPr>
        <w:fldChar w:fldCharType="end"/>
      </w:r>
      <w:r>
        <w:rPr>
          <w:rStyle w:val="9"/>
          <w:rFonts w:hint="eastAsia" w:ascii="Arial" w:hAnsi="Arial" w:eastAsia="宋体" w:cs="Arial"/>
          <w:kern w:val="0"/>
          <w:szCs w:val="21"/>
        </w:rPr>
        <w:t>0.100.100.35</w:t>
      </w:r>
      <w:r>
        <w:rPr>
          <w:rFonts w:hint="eastAsia" w:ascii="Arial" w:hAnsi="Arial" w:eastAsia="宋体" w:cs="Arial"/>
          <w:color w:val="000000"/>
          <w:kern w:val="0"/>
          <w:szCs w:val="21"/>
        </w:rPr>
        <w:t xml:space="preserve"> ；</w:t>
      </w:r>
      <w:r>
        <w:rPr>
          <w:rFonts w:ascii="Arial" w:hAnsi="Arial" w:eastAsia="宋体" w:cs="Arial"/>
          <w:color w:val="000000"/>
          <w:kern w:val="0"/>
          <w:szCs w:val="21"/>
        </w:rPr>
        <w:t>您在</w:t>
      </w:r>
      <w:r>
        <w:rPr>
          <w:rFonts w:hint="eastAsia" w:ascii="Arial" w:hAnsi="Arial" w:eastAsia="宋体" w:cs="Arial"/>
          <w:color w:val="000000"/>
          <w:kern w:val="0"/>
          <w:szCs w:val="21"/>
        </w:rPr>
        <w:t>院外</w:t>
      </w:r>
      <w:r>
        <w:rPr>
          <w:rFonts w:ascii="Arial" w:hAnsi="Arial" w:eastAsia="宋体" w:cs="Arial"/>
          <w:color w:val="000000"/>
          <w:kern w:val="0"/>
          <w:szCs w:val="21"/>
        </w:rPr>
        <w:t>可以访问外网地址：</w:t>
      </w:r>
      <w:r>
        <w:fldChar w:fldCharType="begin"/>
      </w:r>
      <w:r>
        <w:instrText xml:space="preserve"> HYPERLINK "http://172.28.10.24" </w:instrText>
      </w:r>
      <w:r>
        <w:fldChar w:fldCharType="separate"/>
      </w:r>
      <w:r>
        <w:rPr>
          <w:rStyle w:val="9"/>
          <w:rFonts w:ascii="Arial" w:hAnsi="Arial" w:eastAsia="宋体" w:cs="Arial"/>
          <w:kern w:val="0"/>
          <w:szCs w:val="21"/>
        </w:rPr>
        <w:t>http://</w:t>
      </w:r>
      <w:r>
        <w:rPr>
          <w:rStyle w:val="9"/>
          <w:rFonts w:hint="eastAsia" w:ascii="Arial" w:hAnsi="Arial" w:eastAsia="宋体" w:cs="Arial"/>
          <w:kern w:val="0"/>
          <w:szCs w:val="21"/>
        </w:rPr>
        <w:t>2</w:t>
      </w:r>
      <w:r>
        <w:rPr>
          <w:rStyle w:val="9"/>
          <w:rFonts w:hint="eastAsia" w:ascii="Arial" w:hAnsi="Arial" w:eastAsia="宋体" w:cs="Arial"/>
          <w:kern w:val="0"/>
          <w:szCs w:val="21"/>
        </w:rPr>
        <w:fldChar w:fldCharType="end"/>
      </w:r>
      <w:r>
        <w:rPr>
          <w:rStyle w:val="9"/>
          <w:rFonts w:hint="eastAsia" w:ascii="Arial" w:hAnsi="Arial" w:eastAsia="宋体" w:cs="Arial"/>
          <w:kern w:val="0"/>
          <w:szCs w:val="21"/>
        </w:rPr>
        <w:t>19.143.76.78:9981</w:t>
      </w:r>
      <w:r>
        <w:rPr>
          <w:rFonts w:ascii="Arial" w:hAnsi="Arial" w:eastAsia="宋体" w:cs="Arial"/>
          <w:color w:val="000000"/>
          <w:kern w:val="0"/>
          <w:szCs w:val="21"/>
        </w:rPr>
        <w:t>，</w:t>
      </w:r>
      <w:r>
        <w:rPr>
          <w:rFonts w:hint="eastAsia" w:ascii="Arial" w:hAnsi="Arial" w:eastAsia="宋体" w:cs="Arial"/>
          <w:color w:val="000000"/>
          <w:kern w:val="0"/>
          <w:szCs w:val="21"/>
        </w:rPr>
        <w:t>建议使用</w:t>
      </w:r>
      <w:r>
        <w:rPr>
          <w:rFonts w:ascii="Arial" w:hAnsi="Arial" w:eastAsia="宋体" w:cs="Arial"/>
          <w:color w:val="000000"/>
          <w:kern w:val="0"/>
          <w:szCs w:val="21"/>
        </w:rPr>
        <w:t>Chrome</w:t>
      </w:r>
      <w:r>
        <w:rPr>
          <w:rFonts w:hint="eastAsia" w:ascii="Arial" w:hAnsi="Arial" w:eastAsia="宋体" w:cs="Arial"/>
          <w:color w:val="000000"/>
          <w:kern w:val="0"/>
          <w:szCs w:val="21"/>
        </w:rPr>
        <w:t>浏览器，在系统登录页面下方可下载</w:t>
      </w:r>
      <w:r>
        <w:rPr>
          <w:rFonts w:ascii="Arial" w:hAnsi="Arial" w:eastAsia="宋体" w:cs="Arial"/>
          <w:color w:val="000000"/>
          <w:kern w:val="0"/>
          <w:szCs w:val="21"/>
        </w:rPr>
        <w:t>。</w:t>
      </w:r>
      <w:r>
        <w:rPr>
          <w:rFonts w:hint="eastAsia" w:ascii="Arial" w:hAnsi="Arial" w:eastAsia="宋体" w:cs="Arial"/>
          <w:color w:val="000000"/>
          <w:kern w:val="0"/>
          <w:szCs w:val="21"/>
        </w:rPr>
        <w:t>本院研究者的用户名及密码请向伦理委员会办公室咨询。本院研究者登陆后首先阅读“如何填写科研项目”，外院申办者注册登陆后先阅读“操作手册”。（2016年以前既往项目的跟踪报告不在此系统中填报，</w:t>
      </w:r>
      <w:r>
        <w:rPr>
          <w:rFonts w:hint="eastAsia" w:ascii="宋体" w:hAnsi="宋体"/>
          <w:color w:val="000000"/>
          <w:szCs w:val="21"/>
        </w:rPr>
        <w:t>可从医院网首页中的医学伦理委员会链接内下载各种跟踪报告表格</w:t>
      </w:r>
      <w:r>
        <w:rPr>
          <w:rFonts w:hint="eastAsia" w:ascii="Arial" w:hAnsi="Arial" w:eastAsia="宋体" w:cs="Arial"/>
          <w:color w:val="000000"/>
          <w:kern w:val="0"/>
          <w:szCs w:val="21"/>
        </w:rPr>
        <w:t>）。</w:t>
      </w:r>
    </w:p>
    <w:p>
      <w:pPr>
        <w:widowControl/>
        <w:numPr>
          <w:ilvl w:val="0"/>
          <w:numId w:val="4"/>
        </w:numPr>
        <w:tabs>
          <w:tab w:val="left" w:pos="420"/>
        </w:tabs>
        <w:spacing w:line="357" w:lineRule="atLeast"/>
        <w:ind w:left="21" w:leftChars="10"/>
        <w:jc w:val="left"/>
        <w:rPr>
          <w:rFonts w:ascii="宋体" w:hAnsi="宋体"/>
          <w:color w:val="000000"/>
          <w:szCs w:val="21"/>
        </w:rPr>
      </w:pPr>
      <w:r>
        <w:rPr>
          <w:rFonts w:hint="eastAsia" w:ascii="宋体" w:hAnsi="宋体"/>
          <w:color w:val="000000"/>
          <w:szCs w:val="21"/>
        </w:rPr>
        <w:t>在线填写伦理审查申请表及按审查文件清单上传相关文件。</w:t>
      </w:r>
    </w:p>
    <w:p>
      <w:pPr>
        <w:pStyle w:val="4"/>
        <w:numPr>
          <w:ilvl w:val="0"/>
          <w:numId w:val="2"/>
        </w:numPr>
        <w:ind w:left="21" w:leftChars="10" w:firstLineChars="0"/>
        <w:rPr>
          <w:rFonts w:ascii="宋体" w:hAnsi="宋体"/>
          <w:color w:val="000000"/>
          <w:szCs w:val="21"/>
        </w:rPr>
      </w:pPr>
      <w:r>
        <w:rPr>
          <w:rFonts w:hint="eastAsia" w:ascii="宋体" w:hAnsi="宋体"/>
          <w:color w:val="000000"/>
          <w:szCs w:val="21"/>
        </w:rPr>
        <w:t>各种申请表格及文件模板可在</w:t>
      </w:r>
      <w:r>
        <w:rPr>
          <w:rFonts w:hint="eastAsia" w:ascii="微软雅黑" w:hAnsi="微软雅黑" w:eastAsia="微软雅黑" w:cs="微软雅黑"/>
          <w:bCs/>
          <w:color w:val="333333"/>
          <w:szCs w:val="21"/>
          <w:shd w:val="clear" w:color="auto" w:fill="F9F9F9"/>
        </w:rPr>
        <w:t> CTMS系统中下载，也</w:t>
      </w:r>
      <w:r>
        <w:rPr>
          <w:rFonts w:hint="eastAsia" w:ascii="宋体" w:hAnsi="宋体"/>
          <w:color w:val="000000"/>
          <w:szCs w:val="21"/>
        </w:rPr>
        <w:t>可从医院官网首页中的医学伦理委员会链接内下载。网址：</w:t>
      </w:r>
      <w:r>
        <w:fldChar w:fldCharType="begin"/>
      </w:r>
      <w:r>
        <w:instrText xml:space="preserve"> HYPERLINK "http://www.bjtth.org/Home/" </w:instrText>
      </w:r>
      <w:r>
        <w:fldChar w:fldCharType="separate"/>
      </w:r>
      <w:r>
        <w:rPr>
          <w:rStyle w:val="9"/>
          <w:rFonts w:ascii="宋体" w:hAnsi="宋体"/>
          <w:szCs w:val="21"/>
        </w:rPr>
        <w:t>http://www.bjtth.org/Home/</w:t>
      </w:r>
      <w:r>
        <w:rPr>
          <w:rStyle w:val="9"/>
          <w:rFonts w:ascii="宋体" w:hAnsi="宋体"/>
          <w:szCs w:val="21"/>
        </w:rPr>
        <w:fldChar w:fldCharType="end"/>
      </w:r>
      <w:r>
        <w:rPr>
          <w:rFonts w:hint="eastAsia" w:ascii="宋体" w:hAnsi="宋体"/>
          <w:color w:val="000000"/>
          <w:szCs w:val="21"/>
        </w:rPr>
        <w:t>；</w:t>
      </w:r>
    </w:p>
    <w:p>
      <w:pPr>
        <w:pStyle w:val="4"/>
        <w:numPr>
          <w:ilvl w:val="0"/>
          <w:numId w:val="2"/>
        </w:numPr>
        <w:ind w:left="21" w:leftChars="10" w:firstLineChars="0"/>
        <w:rPr>
          <w:rFonts w:ascii="宋体" w:hAnsi="宋体"/>
          <w:color w:val="000000"/>
          <w:szCs w:val="21"/>
        </w:rPr>
      </w:pPr>
      <w:r>
        <w:rPr>
          <w:rFonts w:hint="eastAsia" w:ascii="宋体" w:hAnsi="宋体"/>
          <w:color w:val="000000"/>
          <w:szCs w:val="21"/>
        </w:rPr>
        <w:t>送审责任者：为主要研究者或项目负责人，责任者签署伦理审查申请。</w:t>
      </w:r>
    </w:p>
    <w:p>
      <w:pPr>
        <w:pStyle w:val="4"/>
        <w:numPr>
          <w:ilvl w:val="0"/>
          <w:numId w:val="2"/>
        </w:numPr>
        <w:ind w:left="21" w:leftChars="10" w:firstLineChars="0"/>
        <w:rPr>
          <w:rFonts w:ascii="宋体" w:hAnsi="宋体"/>
          <w:color w:val="000000"/>
          <w:szCs w:val="21"/>
        </w:rPr>
      </w:pPr>
      <w:r>
        <w:rPr>
          <w:rFonts w:hint="eastAsia" w:ascii="宋体" w:hAnsi="宋体"/>
          <w:color w:val="000000"/>
          <w:szCs w:val="21"/>
        </w:rPr>
        <w:t>下载区根据审查类型分为各个文件夹：初始申请伦理、审查、复审、跟踪审查等；递交文件清单与申请表及模板包括在各个文件夹；</w:t>
      </w:r>
    </w:p>
    <w:p>
      <w:pPr>
        <w:pStyle w:val="4"/>
        <w:numPr>
          <w:ilvl w:val="0"/>
          <w:numId w:val="2"/>
        </w:numPr>
        <w:ind w:left="21" w:leftChars="10" w:firstLineChars="0"/>
        <w:rPr>
          <w:rFonts w:ascii="宋体" w:hAnsi="宋体"/>
          <w:color w:val="000000"/>
          <w:szCs w:val="21"/>
        </w:rPr>
      </w:pPr>
      <w:r>
        <w:rPr>
          <w:rFonts w:hint="eastAsia" w:ascii="宋体" w:hAnsi="宋体"/>
          <w:color w:val="000000"/>
          <w:szCs w:val="21"/>
        </w:rPr>
        <w:t>会议审查汇报PPT可以在开会前递交；</w:t>
      </w:r>
    </w:p>
    <w:p>
      <w:pPr>
        <w:pStyle w:val="4"/>
        <w:numPr>
          <w:ilvl w:val="0"/>
          <w:numId w:val="2"/>
        </w:numPr>
        <w:ind w:left="21" w:leftChars="10" w:firstLineChars="0"/>
        <w:rPr>
          <w:rFonts w:ascii="宋体" w:hAnsi="宋体"/>
          <w:color w:val="000000"/>
          <w:szCs w:val="21"/>
        </w:rPr>
      </w:pPr>
      <w:r>
        <w:rPr>
          <w:rFonts w:hint="eastAsia" w:ascii="宋体" w:hAnsi="宋体"/>
          <w:color w:val="000000"/>
          <w:szCs w:val="21"/>
        </w:rPr>
        <w:t>申请人根据“送审文件清单”，准备好需要送审的材料；</w:t>
      </w:r>
    </w:p>
    <w:p>
      <w:pPr>
        <w:pStyle w:val="4"/>
        <w:numPr>
          <w:ilvl w:val="0"/>
          <w:numId w:val="2"/>
        </w:numPr>
        <w:ind w:left="21" w:leftChars="10" w:firstLineChars="0"/>
        <w:rPr>
          <w:rFonts w:ascii="宋体" w:hAnsi="宋体"/>
          <w:color w:val="000000"/>
          <w:szCs w:val="21"/>
        </w:rPr>
      </w:pPr>
      <w:r>
        <w:rPr>
          <w:rFonts w:hint="eastAsia" w:ascii="宋体" w:hAnsi="宋体"/>
          <w:color w:val="000000"/>
          <w:szCs w:val="21"/>
        </w:rPr>
        <w:t>将完成的伦理审查申请表与送审材料</w:t>
      </w:r>
      <w:r>
        <w:rPr>
          <w:rFonts w:hint="eastAsia" w:ascii="宋体" w:hAnsi="宋体"/>
          <w:b/>
          <w:color w:val="000000"/>
          <w:szCs w:val="21"/>
        </w:rPr>
        <w:t>纸质1份及对应的电子版</w:t>
      </w:r>
      <w:r>
        <w:rPr>
          <w:rFonts w:hint="eastAsia" w:ascii="宋体" w:hAnsi="宋体"/>
          <w:color w:val="000000"/>
          <w:szCs w:val="21"/>
        </w:rPr>
        <w:t>递交给伦理秘书。</w:t>
      </w:r>
    </w:p>
    <w:p>
      <w:pPr>
        <w:pStyle w:val="4"/>
        <w:ind w:left="21" w:firstLine="0" w:firstLineChars="0"/>
        <w:rPr>
          <w:rFonts w:ascii="宋体" w:hAnsi="宋体"/>
          <w:b/>
          <w:szCs w:val="21"/>
        </w:rPr>
      </w:pPr>
      <w:r>
        <w:rPr>
          <w:rFonts w:ascii="宋体" w:hAnsi="宋体"/>
          <w:b/>
          <w:szCs w:val="21"/>
        </w:rPr>
        <w:t xml:space="preserve">4.2. </w:t>
      </w:r>
      <w:r>
        <w:rPr>
          <w:rFonts w:hint="eastAsia" w:ascii="宋体" w:hAnsi="宋体"/>
          <w:b/>
          <w:szCs w:val="21"/>
        </w:rPr>
        <w:t>研究者资格材料</w:t>
      </w:r>
    </w:p>
    <w:p>
      <w:pPr>
        <w:pStyle w:val="4"/>
        <w:numPr>
          <w:ilvl w:val="0"/>
          <w:numId w:val="2"/>
        </w:numPr>
        <w:ind w:left="21" w:leftChars="10" w:firstLineChars="0"/>
        <w:rPr>
          <w:rFonts w:ascii="宋体" w:hAnsi="宋体"/>
          <w:color w:val="000000"/>
          <w:szCs w:val="21"/>
        </w:rPr>
      </w:pPr>
      <w:r>
        <w:rPr>
          <w:rFonts w:hint="eastAsia" w:ascii="宋体" w:hAnsi="宋体"/>
          <w:color w:val="000000"/>
          <w:szCs w:val="21"/>
        </w:rPr>
        <w:t>需要递交参加研究的所有研究者的个人简历（签署姓名和日期）、与GCP培训证明（</w:t>
      </w:r>
      <w:r>
        <w:rPr>
          <w:rFonts w:hint="eastAsia" w:ascii="宋体" w:hAnsi="宋体"/>
          <w:b/>
          <w:color w:val="000000"/>
          <w:szCs w:val="21"/>
        </w:rPr>
        <w:t>近5年，5年更新一次</w:t>
      </w:r>
      <w:r>
        <w:rPr>
          <w:rFonts w:hint="eastAsia" w:ascii="宋体" w:hAnsi="宋体"/>
          <w:color w:val="000000"/>
          <w:szCs w:val="21"/>
        </w:rPr>
        <w:t>）。</w:t>
      </w:r>
    </w:p>
    <w:p>
      <w:pPr>
        <w:pStyle w:val="4"/>
        <w:numPr>
          <w:ilvl w:val="0"/>
          <w:numId w:val="2"/>
        </w:numPr>
        <w:ind w:left="21" w:leftChars="10" w:firstLineChars="0"/>
        <w:rPr>
          <w:rFonts w:ascii="宋体" w:hAnsi="宋体"/>
          <w:color w:val="FF0000"/>
          <w:szCs w:val="21"/>
        </w:rPr>
      </w:pPr>
      <w:r>
        <w:rPr>
          <w:rFonts w:hint="eastAsia" w:ascii="宋体" w:hAnsi="宋体"/>
          <w:color w:val="FF0000"/>
          <w:szCs w:val="21"/>
        </w:rPr>
        <w:t>需要声明与拟开展的研究项目无利益冲突，利益冲突具体内容见“利益冲突政策”。</w:t>
      </w:r>
    </w:p>
    <w:p>
      <w:pPr>
        <w:pStyle w:val="4"/>
        <w:ind w:left="21" w:firstLine="0" w:firstLineChars="0"/>
        <w:rPr>
          <w:rFonts w:ascii="宋体" w:hAnsi="宋体"/>
          <w:b/>
          <w:szCs w:val="21"/>
        </w:rPr>
      </w:pPr>
      <w:r>
        <w:rPr>
          <w:rFonts w:ascii="宋体" w:hAnsi="宋体"/>
          <w:b/>
          <w:szCs w:val="21"/>
        </w:rPr>
        <w:t xml:space="preserve">4.3. </w:t>
      </w:r>
      <w:r>
        <w:rPr>
          <w:rFonts w:hint="eastAsia" w:ascii="宋体" w:hAnsi="宋体"/>
          <w:b/>
          <w:szCs w:val="21"/>
        </w:rPr>
        <w:t>受理申请与审查文件</w:t>
      </w:r>
    </w:p>
    <w:p>
      <w:pPr>
        <w:pStyle w:val="4"/>
        <w:numPr>
          <w:ilvl w:val="0"/>
          <w:numId w:val="2"/>
        </w:numPr>
        <w:ind w:left="21" w:leftChars="10" w:firstLineChars="0"/>
        <w:rPr>
          <w:rFonts w:ascii="宋体" w:hAnsi="宋体"/>
          <w:color w:val="000000"/>
          <w:szCs w:val="21"/>
        </w:rPr>
      </w:pPr>
      <w:r>
        <w:rPr>
          <w:rFonts w:hint="eastAsia" w:ascii="宋体" w:hAnsi="宋体"/>
          <w:color w:val="000000"/>
          <w:szCs w:val="21"/>
        </w:rPr>
        <w:t>伦理委员会办公室受理送审材料后，如果认为送审文件不全，将要求申请人补充齐全申请材料；受理资料后，同时告知预定审查日期。</w:t>
      </w:r>
    </w:p>
    <w:p>
      <w:pPr>
        <w:pStyle w:val="4"/>
        <w:numPr>
          <w:ilvl w:val="0"/>
          <w:numId w:val="2"/>
        </w:numPr>
        <w:ind w:left="21" w:leftChars="10" w:firstLineChars="0"/>
        <w:rPr>
          <w:rFonts w:ascii="宋体" w:hAnsi="宋体"/>
          <w:color w:val="000000"/>
          <w:szCs w:val="21"/>
        </w:rPr>
      </w:pPr>
      <w:r>
        <w:rPr>
          <w:rFonts w:hint="eastAsia" w:ascii="宋体" w:hAnsi="宋体"/>
          <w:color w:val="000000"/>
          <w:szCs w:val="21"/>
        </w:rPr>
        <w:t>会议时间/地点：办公室秘书通过电话/短信通知申请人，并告知审查的排序，主要研究者/项目负责人提前15分钟到达会议地点，准备报告。</w:t>
      </w:r>
    </w:p>
    <w:p>
      <w:pPr>
        <w:pStyle w:val="4"/>
        <w:ind w:left="21" w:firstLine="0" w:firstLineChars="0"/>
        <w:rPr>
          <w:rFonts w:ascii="宋体" w:hAnsi="宋体"/>
          <w:b/>
          <w:color w:val="000000"/>
          <w:szCs w:val="21"/>
        </w:rPr>
      </w:pPr>
    </w:p>
    <w:p>
      <w:pPr>
        <w:pStyle w:val="4"/>
        <w:ind w:left="21" w:firstLine="0" w:firstLineChars="0"/>
        <w:rPr>
          <w:rFonts w:ascii="宋体" w:hAnsi="宋体"/>
          <w:b/>
          <w:color w:val="000000"/>
          <w:szCs w:val="21"/>
        </w:rPr>
      </w:pPr>
      <w:r>
        <w:rPr>
          <w:rFonts w:hint="eastAsia" w:ascii="宋体" w:hAnsi="宋体"/>
          <w:b/>
          <w:color w:val="000000"/>
          <w:szCs w:val="21"/>
        </w:rPr>
        <w:t>五、伦理审查</w:t>
      </w:r>
    </w:p>
    <w:p>
      <w:pPr>
        <w:pStyle w:val="4"/>
        <w:ind w:left="21" w:firstLine="0" w:firstLineChars="0"/>
        <w:rPr>
          <w:rFonts w:ascii="宋体" w:hAnsi="宋体"/>
          <w:b/>
          <w:color w:val="000000"/>
          <w:szCs w:val="21"/>
        </w:rPr>
      </w:pPr>
      <w:r>
        <w:rPr>
          <w:rFonts w:hint="eastAsia" w:ascii="宋体" w:hAnsi="宋体"/>
          <w:b/>
          <w:color w:val="000000"/>
          <w:szCs w:val="21"/>
        </w:rPr>
        <w:t>5.1 伦理审查方式</w:t>
      </w:r>
    </w:p>
    <w:p>
      <w:pPr>
        <w:pStyle w:val="4"/>
        <w:numPr>
          <w:ilvl w:val="0"/>
          <w:numId w:val="5"/>
        </w:numPr>
        <w:ind w:firstLineChars="0"/>
        <w:rPr>
          <w:rFonts w:ascii="宋体" w:hAnsi="宋体"/>
          <w:color w:val="000000"/>
          <w:szCs w:val="21"/>
        </w:rPr>
      </w:pPr>
      <w:r>
        <w:rPr>
          <w:rFonts w:hint="eastAsia" w:ascii="宋体" w:hAnsi="宋体"/>
          <w:color w:val="000000"/>
          <w:szCs w:val="21"/>
        </w:rPr>
        <w:t>会议审查：所有类别的伦理审查申请/报告</w:t>
      </w:r>
    </w:p>
    <w:p>
      <w:pPr>
        <w:pStyle w:val="4"/>
        <w:numPr>
          <w:ilvl w:val="1"/>
          <w:numId w:val="5"/>
        </w:numPr>
        <w:ind w:firstLineChars="0"/>
        <w:rPr>
          <w:rFonts w:ascii="宋体" w:hAnsi="宋体"/>
          <w:color w:val="000000"/>
          <w:szCs w:val="21"/>
        </w:rPr>
      </w:pPr>
      <w:r>
        <w:rPr>
          <w:rFonts w:hint="eastAsia" w:ascii="宋体" w:hAnsi="宋体"/>
          <w:color w:val="000000"/>
          <w:szCs w:val="21"/>
        </w:rPr>
        <w:t>所有递交资料提前分发委员审查；</w:t>
      </w:r>
    </w:p>
    <w:p>
      <w:pPr>
        <w:pStyle w:val="4"/>
        <w:numPr>
          <w:ilvl w:val="1"/>
          <w:numId w:val="5"/>
        </w:numPr>
        <w:ind w:firstLineChars="0"/>
        <w:rPr>
          <w:rFonts w:ascii="宋体" w:hAnsi="宋体"/>
          <w:color w:val="000000"/>
          <w:szCs w:val="21"/>
        </w:rPr>
      </w:pPr>
      <w:r>
        <w:rPr>
          <w:rFonts w:hint="eastAsia" w:ascii="宋体" w:hAnsi="宋体"/>
          <w:color w:val="000000"/>
          <w:szCs w:val="21"/>
        </w:rPr>
        <w:t>所有的报告，包括非预期事件，都送委员审查，由委员根据递交资料判断发生的事件是否会对受试者或其他人造成风险；</w:t>
      </w:r>
    </w:p>
    <w:p>
      <w:pPr>
        <w:pStyle w:val="4"/>
        <w:numPr>
          <w:ilvl w:val="1"/>
          <w:numId w:val="5"/>
        </w:numPr>
        <w:ind w:firstLineChars="0"/>
        <w:rPr>
          <w:rFonts w:ascii="宋体" w:hAnsi="宋体"/>
          <w:color w:val="000000"/>
          <w:szCs w:val="21"/>
        </w:rPr>
      </w:pPr>
      <w:r>
        <w:rPr>
          <w:rFonts w:hint="eastAsia" w:ascii="宋体" w:hAnsi="宋体"/>
          <w:color w:val="000000"/>
          <w:szCs w:val="21"/>
        </w:rPr>
        <w:t>伦理委员会将审查报告，评估报告事件是否对受试者或其他人的风险超过最小风险。</w:t>
      </w:r>
    </w:p>
    <w:p>
      <w:pPr>
        <w:pStyle w:val="4"/>
        <w:numPr>
          <w:ilvl w:val="0"/>
          <w:numId w:val="5"/>
        </w:numPr>
        <w:ind w:firstLineChars="0"/>
        <w:rPr>
          <w:rFonts w:ascii="宋体" w:hAnsi="宋体"/>
          <w:color w:val="000000"/>
          <w:szCs w:val="21"/>
        </w:rPr>
      </w:pPr>
      <w:r>
        <w:rPr>
          <w:rFonts w:hint="eastAsia" w:ascii="宋体" w:hAnsi="宋体"/>
          <w:color w:val="000000"/>
          <w:szCs w:val="21"/>
        </w:rPr>
        <w:t>快速审查：</w:t>
      </w:r>
    </w:p>
    <w:p>
      <w:pPr>
        <w:pStyle w:val="4"/>
        <w:numPr>
          <w:ilvl w:val="1"/>
          <w:numId w:val="5"/>
        </w:numPr>
        <w:ind w:firstLineChars="0"/>
        <w:rPr>
          <w:rFonts w:ascii="宋体" w:hAnsi="宋体"/>
          <w:color w:val="000000"/>
          <w:szCs w:val="21"/>
        </w:rPr>
      </w:pPr>
      <w:r>
        <w:rPr>
          <w:rFonts w:hint="eastAsia" w:ascii="宋体" w:hAnsi="宋体"/>
          <w:color w:val="000000"/>
          <w:szCs w:val="21"/>
        </w:rPr>
        <w:t>科研项目申报：由于申报批准后还需要伦理委员会对立项再进行审查，故对项目申报一般采用快速审查方式。</w:t>
      </w:r>
    </w:p>
    <w:p>
      <w:pPr>
        <w:pStyle w:val="4"/>
        <w:numPr>
          <w:ilvl w:val="1"/>
          <w:numId w:val="5"/>
        </w:numPr>
        <w:ind w:firstLineChars="0"/>
      </w:pPr>
      <w:r>
        <w:rPr>
          <w:rFonts w:hint="eastAsia"/>
        </w:rPr>
        <w:t>临床科研项目，研究风险不大于最小风险的，不涉及弱势群体、个人隐私及敏感性问题，且研究步骤仅限于：</w:t>
      </w:r>
    </w:p>
    <w:p>
      <w:pPr>
        <w:pStyle w:val="4"/>
        <w:numPr>
          <w:ilvl w:val="2"/>
          <w:numId w:val="5"/>
        </w:numPr>
        <w:ind w:firstLineChars="0"/>
      </w:pPr>
      <w:r>
        <w:rPr>
          <w:rFonts w:hint="eastAsia"/>
        </w:rPr>
        <w:t>通过手指、脚后跟、耳垂采集用于研究的血样；</w:t>
      </w:r>
    </w:p>
    <w:p>
      <w:pPr>
        <w:pStyle w:val="4"/>
        <w:numPr>
          <w:ilvl w:val="2"/>
          <w:numId w:val="5"/>
        </w:numPr>
        <w:ind w:firstLineChars="0"/>
      </w:pPr>
      <w:r>
        <w:rPr>
          <w:rFonts w:hint="eastAsia"/>
        </w:rPr>
        <w:t>静脉采集在考虑年龄、体重、健康状况、采血程序、采血总量和采血频率等因素后，判断为不大于最小风险；；</w:t>
      </w:r>
    </w:p>
    <w:p>
      <w:pPr>
        <w:pStyle w:val="4"/>
        <w:numPr>
          <w:ilvl w:val="2"/>
          <w:numId w:val="5"/>
        </w:numPr>
        <w:ind w:firstLineChars="0"/>
      </w:pPr>
      <w:r>
        <w:rPr>
          <w:rFonts w:hint="eastAsia"/>
        </w:rPr>
        <w:t>通过无创手段、前瞻性采集用于研究的生物学标本，如头发、指甲、唾液、痰液等；</w:t>
      </w:r>
    </w:p>
    <w:p>
      <w:pPr>
        <w:pStyle w:val="4"/>
        <w:numPr>
          <w:ilvl w:val="2"/>
          <w:numId w:val="5"/>
        </w:numPr>
        <w:ind w:firstLineChars="0"/>
      </w:pPr>
      <w:r>
        <w:rPr>
          <w:rFonts w:hint="eastAsia"/>
        </w:rPr>
        <w:t>通过临床实践常规的非侵入性手段采集用于研究的数据，不涉及全麻、镇静、X线或微波的手段；如果使用医疗器械，必须是经过批准上市的医疗器械，如磁共振成像，心电图、脑电图、温度计、超声、红外诊断成像、多普勒血液流变、超声心动图等；</w:t>
      </w:r>
    </w:p>
    <w:p>
      <w:pPr>
        <w:pStyle w:val="4"/>
        <w:numPr>
          <w:ilvl w:val="2"/>
          <w:numId w:val="5"/>
        </w:numPr>
        <w:ind w:firstLineChars="0"/>
      </w:pPr>
      <w:r>
        <w:rPr>
          <w:rFonts w:hint="eastAsia"/>
        </w:rPr>
        <w:t>研究利用既往收集的材料（数据、文件、记录或标本）；</w:t>
      </w:r>
    </w:p>
    <w:p>
      <w:pPr>
        <w:pStyle w:val="4"/>
        <w:numPr>
          <w:ilvl w:val="2"/>
          <w:numId w:val="5"/>
        </w:numPr>
        <w:ind w:firstLineChars="0"/>
      </w:pPr>
      <w:r>
        <w:rPr>
          <w:rFonts w:hint="eastAsia"/>
        </w:rPr>
        <w:t>因研究目的而进行的声音、视频、数字或者影响记录的数据采集；</w:t>
      </w:r>
    </w:p>
    <w:p>
      <w:pPr>
        <w:pStyle w:val="4"/>
        <w:numPr>
          <w:ilvl w:val="2"/>
          <w:numId w:val="5"/>
        </w:numPr>
        <w:ind w:firstLineChars="0"/>
      </w:pPr>
      <w:r>
        <w:rPr>
          <w:rFonts w:hint="eastAsia"/>
        </w:rPr>
        <w:t>采用调查、访谈方法的研究。</w:t>
      </w:r>
    </w:p>
    <w:p>
      <w:pPr>
        <w:pStyle w:val="4"/>
        <w:numPr>
          <w:ilvl w:val="1"/>
          <w:numId w:val="5"/>
        </w:numPr>
        <w:ind w:firstLineChars="0"/>
      </w:pPr>
      <w:r>
        <w:rPr>
          <w:rFonts w:hint="eastAsia"/>
        </w:rPr>
        <w:t>伦理审查意见为“作必要的修正后同意”，修改后再次送审的项目；</w:t>
      </w:r>
    </w:p>
    <w:p>
      <w:pPr>
        <w:pStyle w:val="4"/>
        <w:numPr>
          <w:ilvl w:val="1"/>
          <w:numId w:val="5"/>
        </w:numPr>
        <w:ind w:firstLineChars="0"/>
      </w:pPr>
      <w:r>
        <w:rPr>
          <w:rFonts w:hint="eastAsia"/>
        </w:rPr>
        <w:t>方案修改：临床研究方案的较小修正，不影响研究的风险受益比，如错别字的修改；涉及研究后勤和行政管理方面的修改；增加研究者等；</w:t>
      </w:r>
    </w:p>
    <w:p>
      <w:pPr>
        <w:pStyle w:val="4"/>
        <w:numPr>
          <w:ilvl w:val="1"/>
          <w:numId w:val="5"/>
        </w:numPr>
        <w:ind w:firstLineChars="0"/>
      </w:pPr>
      <w:r>
        <w:rPr>
          <w:rFonts w:hint="eastAsia"/>
        </w:rPr>
        <w:t>尚未纳入受试者的研究项目的年度/定期跟踪审查和暂停/中止研究的审查；</w:t>
      </w:r>
    </w:p>
    <w:p>
      <w:pPr>
        <w:pStyle w:val="4"/>
        <w:numPr>
          <w:ilvl w:val="1"/>
          <w:numId w:val="5"/>
        </w:numPr>
        <w:ind w:firstLineChars="0"/>
      </w:pPr>
      <w:r>
        <w:rPr>
          <w:rFonts w:hint="eastAsia"/>
        </w:rPr>
        <w:t>已完成干预措施的研究项目的年度/定期跟踪审查，如研究进入数据分析总结阶段；</w:t>
      </w:r>
    </w:p>
    <w:p>
      <w:pPr>
        <w:pStyle w:val="4"/>
        <w:numPr>
          <w:ilvl w:val="1"/>
          <w:numId w:val="5"/>
        </w:numPr>
        <w:ind w:firstLineChars="0"/>
      </w:pPr>
      <w:r>
        <w:rPr>
          <w:rFonts w:hint="eastAsia"/>
        </w:rPr>
        <w:t>本中心未发生严重不良事件或非预期严重不良事件的年度/定期跟踪审查；</w:t>
      </w:r>
    </w:p>
    <w:p>
      <w:pPr>
        <w:pStyle w:val="4"/>
        <w:numPr>
          <w:ilvl w:val="1"/>
          <w:numId w:val="5"/>
        </w:numPr>
        <w:ind w:firstLineChars="0"/>
      </w:pPr>
      <w:r>
        <w:rPr>
          <w:rFonts w:hint="eastAsia"/>
        </w:rPr>
        <w:t>本中心发生的与研究干预无关的严重不良事件；</w:t>
      </w:r>
    </w:p>
    <w:p>
      <w:pPr>
        <w:pStyle w:val="4"/>
        <w:numPr>
          <w:ilvl w:val="1"/>
          <w:numId w:val="5"/>
        </w:numPr>
        <w:ind w:firstLineChars="0"/>
      </w:pPr>
      <w:r>
        <w:rPr>
          <w:rFonts w:hint="eastAsia"/>
        </w:rPr>
        <w:t>本中心发生的预期严重不良事件；</w:t>
      </w:r>
    </w:p>
    <w:p>
      <w:pPr>
        <w:pStyle w:val="4"/>
        <w:numPr>
          <w:ilvl w:val="1"/>
          <w:numId w:val="5"/>
        </w:numPr>
        <w:ind w:firstLineChars="0"/>
      </w:pPr>
      <w:r>
        <w:rPr>
          <w:rFonts w:hint="eastAsia"/>
        </w:rPr>
        <w:t>其他中心发生的严重不良事件，对预期的研究风险与受益没有产生显著影响；</w:t>
      </w:r>
    </w:p>
    <w:p>
      <w:pPr>
        <w:pStyle w:val="4"/>
        <w:numPr>
          <w:ilvl w:val="1"/>
          <w:numId w:val="5"/>
        </w:numPr>
        <w:ind w:firstLineChars="0"/>
      </w:pPr>
      <w:r>
        <w:rPr>
          <w:rFonts w:hint="eastAsia"/>
          <w:color w:val="000000"/>
        </w:rPr>
        <w:t>提前终止研究和</w:t>
      </w:r>
      <w:r>
        <w:rPr>
          <w:rFonts w:hint="eastAsia"/>
        </w:rPr>
        <w:t>结题报告的审查。</w:t>
      </w:r>
    </w:p>
    <w:p>
      <w:pPr>
        <w:pStyle w:val="4"/>
        <w:numPr>
          <w:ilvl w:val="1"/>
          <w:numId w:val="5"/>
        </w:numPr>
        <w:tabs>
          <w:tab w:val="left" w:pos="420"/>
        </w:tabs>
        <w:ind w:firstLineChars="0"/>
      </w:pPr>
      <w:r>
        <w:rPr>
          <w:rFonts w:hint="eastAsia"/>
        </w:rPr>
        <w:t>免除伦理审查申请，符合免除审查标准的，如对于既往存档的数据、文件、记录、病理标本或诊断标本的收集或研究，并且这些资源是公共资源，或者研究者是以无法联系受试者的方式（直接联系或通过标识符）记录信息的，详见本指南</w:t>
      </w:r>
      <w:r>
        <w:rPr>
          <w:rFonts w:hint="eastAsia"/>
          <w:b/>
          <w:color w:val="FF0000"/>
        </w:rPr>
        <w:t>第8条</w:t>
      </w:r>
      <w:r>
        <w:rPr>
          <w:rFonts w:hint="eastAsia"/>
        </w:rPr>
        <w:t>。</w:t>
      </w:r>
    </w:p>
    <w:p>
      <w:pPr>
        <w:pStyle w:val="4"/>
        <w:numPr>
          <w:ilvl w:val="0"/>
          <w:numId w:val="5"/>
        </w:numPr>
        <w:ind w:firstLineChars="0"/>
        <w:rPr>
          <w:rFonts w:ascii="宋体" w:hAnsi="宋体"/>
          <w:color w:val="000000"/>
          <w:szCs w:val="21"/>
        </w:rPr>
      </w:pPr>
      <w:r>
        <w:rPr>
          <w:rFonts w:hint="eastAsia" w:ascii="宋体" w:hAnsi="宋体"/>
          <w:color w:val="000000"/>
          <w:szCs w:val="21"/>
        </w:rPr>
        <w:t>快审转会审</w:t>
      </w:r>
    </w:p>
    <w:p>
      <w:pPr>
        <w:pStyle w:val="4"/>
        <w:numPr>
          <w:ilvl w:val="1"/>
          <w:numId w:val="5"/>
        </w:numPr>
        <w:ind w:firstLineChars="0"/>
        <w:rPr>
          <w:rFonts w:ascii="宋体" w:hAnsi="宋体"/>
          <w:color w:val="000000"/>
          <w:szCs w:val="21"/>
        </w:rPr>
      </w:pPr>
      <w:r>
        <w:rPr>
          <w:rFonts w:hint="eastAsia"/>
        </w:rPr>
        <w:t>快速审查意见有“作必要的修正后重审”、“不同意”、“终止或暂停已批准的研究”、“提交会议审查”时，则转为会议审查。</w:t>
      </w:r>
    </w:p>
    <w:p>
      <w:pPr>
        <w:pStyle w:val="4"/>
        <w:ind w:firstLine="23" w:firstLineChars="0"/>
      </w:pPr>
      <w:r>
        <w:rPr>
          <w:rFonts w:hint="eastAsia"/>
        </w:rPr>
        <w:t>5.2 伦理审查建议</w:t>
      </w:r>
    </w:p>
    <w:p>
      <w:pPr>
        <w:pStyle w:val="4"/>
        <w:numPr>
          <w:ilvl w:val="0"/>
          <w:numId w:val="6"/>
        </w:numPr>
        <w:ind w:firstLineChars="0"/>
      </w:pPr>
      <w:r>
        <w:rPr>
          <w:rFonts w:hint="eastAsia"/>
        </w:rPr>
        <w:t>同意，做必要的修改后同意，做必要的修改后重审，不同意</w:t>
      </w:r>
    </w:p>
    <w:p>
      <w:pPr>
        <w:pStyle w:val="4"/>
        <w:numPr>
          <w:ilvl w:val="0"/>
          <w:numId w:val="6"/>
        </w:numPr>
        <w:ind w:firstLineChars="0"/>
      </w:pPr>
      <w:r>
        <w:rPr>
          <w:rFonts w:hint="eastAsia"/>
        </w:rPr>
        <w:t>暂停已批准的研究</w:t>
      </w:r>
    </w:p>
    <w:p>
      <w:pPr>
        <w:pStyle w:val="4"/>
        <w:numPr>
          <w:ilvl w:val="0"/>
          <w:numId w:val="6"/>
        </w:numPr>
        <w:ind w:firstLineChars="0"/>
      </w:pPr>
      <w:r>
        <w:rPr>
          <w:rFonts w:hint="eastAsia"/>
        </w:rPr>
        <w:t>终止已批准的研究</w:t>
      </w:r>
    </w:p>
    <w:p>
      <w:pPr>
        <w:pStyle w:val="4"/>
        <w:numPr>
          <w:ilvl w:val="0"/>
          <w:numId w:val="6"/>
        </w:numPr>
        <w:ind w:firstLineChars="0"/>
      </w:pPr>
      <w:r>
        <w:rPr>
          <w:rFonts w:hint="eastAsia"/>
        </w:rPr>
        <w:t>如果新获得的信息可能影响已入组受试者自愿参加研究的意愿，重新知情已入组受试者；</w:t>
      </w:r>
    </w:p>
    <w:p>
      <w:pPr>
        <w:pStyle w:val="4"/>
        <w:numPr>
          <w:ilvl w:val="0"/>
          <w:numId w:val="6"/>
        </w:numPr>
        <w:ind w:firstLineChars="0"/>
      </w:pPr>
      <w:r>
        <w:rPr>
          <w:rFonts w:hint="eastAsia"/>
        </w:rPr>
        <w:t>修改研究方案；</w:t>
      </w:r>
    </w:p>
    <w:p>
      <w:pPr>
        <w:pStyle w:val="4"/>
        <w:numPr>
          <w:ilvl w:val="0"/>
          <w:numId w:val="6"/>
        </w:numPr>
        <w:ind w:firstLineChars="0"/>
      </w:pPr>
      <w:r>
        <w:rPr>
          <w:rFonts w:hint="eastAsia"/>
        </w:rPr>
        <w:t>根据在知情同意过程中披露的信息进行修改；</w:t>
      </w:r>
    </w:p>
    <w:p>
      <w:pPr>
        <w:pStyle w:val="4"/>
        <w:numPr>
          <w:ilvl w:val="0"/>
          <w:numId w:val="6"/>
        </w:numPr>
        <w:ind w:firstLineChars="0"/>
      </w:pPr>
      <w:r>
        <w:rPr>
          <w:rFonts w:hint="eastAsia"/>
        </w:rPr>
        <w:t>对既往受试者提供已获得的信息；</w:t>
      </w:r>
    </w:p>
    <w:p>
      <w:pPr>
        <w:pStyle w:val="4"/>
        <w:numPr>
          <w:ilvl w:val="0"/>
          <w:numId w:val="6"/>
        </w:numPr>
        <w:ind w:firstLineChars="0"/>
      </w:pPr>
      <w:r>
        <w:rPr>
          <w:rFonts w:hint="eastAsia"/>
        </w:rPr>
        <w:t>对已入组受试者重新获得知情同意；</w:t>
      </w:r>
    </w:p>
    <w:p>
      <w:pPr>
        <w:pStyle w:val="4"/>
        <w:numPr>
          <w:ilvl w:val="0"/>
          <w:numId w:val="6"/>
        </w:numPr>
        <w:ind w:firstLineChars="0"/>
      </w:pPr>
      <w:r>
        <w:rPr>
          <w:rFonts w:hint="eastAsia"/>
        </w:rPr>
        <w:t>修改跟踪审查计划；</w:t>
      </w:r>
    </w:p>
    <w:p>
      <w:pPr>
        <w:pStyle w:val="4"/>
        <w:numPr>
          <w:ilvl w:val="0"/>
          <w:numId w:val="6"/>
        </w:numPr>
        <w:ind w:firstLineChars="0"/>
      </w:pPr>
      <w:r>
        <w:rPr>
          <w:rFonts w:hint="eastAsia"/>
        </w:rPr>
        <w:t>监察研究；</w:t>
      </w:r>
    </w:p>
    <w:p>
      <w:pPr>
        <w:pStyle w:val="4"/>
        <w:numPr>
          <w:ilvl w:val="0"/>
          <w:numId w:val="6"/>
        </w:numPr>
        <w:ind w:firstLineChars="0"/>
      </w:pPr>
      <w:r>
        <w:rPr>
          <w:rFonts w:hint="eastAsia"/>
        </w:rPr>
        <w:t>监察知情同意过程；</w:t>
      </w:r>
    </w:p>
    <w:p>
      <w:pPr>
        <w:pStyle w:val="4"/>
        <w:numPr>
          <w:ilvl w:val="0"/>
          <w:numId w:val="6"/>
        </w:numPr>
        <w:ind w:firstLineChars="0"/>
      </w:pPr>
      <w:r>
        <w:rPr>
          <w:rFonts w:hint="eastAsia"/>
        </w:rPr>
        <w:t>告知其他部门。</w:t>
      </w:r>
    </w:p>
    <w:p>
      <w:pPr>
        <w:pStyle w:val="4"/>
        <w:ind w:firstLine="23" w:firstLineChars="0"/>
        <w:rPr>
          <w:rFonts w:ascii="宋体" w:hAnsi="宋体"/>
          <w:color w:val="000000"/>
          <w:szCs w:val="21"/>
        </w:rPr>
      </w:pPr>
      <w:r>
        <w:rPr>
          <w:rFonts w:hint="eastAsia"/>
        </w:rPr>
        <w:t>5.3 审查时限</w:t>
      </w:r>
    </w:p>
    <w:p>
      <w:pPr>
        <w:pStyle w:val="4"/>
        <w:ind w:left="23"/>
        <w:rPr>
          <w:rFonts w:ascii="宋体" w:hAnsi="宋体"/>
          <w:color w:val="000000"/>
          <w:szCs w:val="21"/>
        </w:rPr>
      </w:pPr>
      <w:r>
        <w:rPr>
          <w:rFonts w:hint="eastAsia" w:ascii="宋体" w:hAnsi="宋体"/>
          <w:color w:val="000000"/>
          <w:szCs w:val="21"/>
        </w:rPr>
        <w:t>伦理委员会办公室受理伦理审查申请/报告后，一般需要一周时间进行处理，材料齐全的初始审查项目与审查意见为“修改后重审”的项目将提交会议审查。</w:t>
      </w:r>
    </w:p>
    <w:p>
      <w:pPr>
        <w:pStyle w:val="4"/>
        <w:ind w:left="23"/>
        <w:rPr>
          <w:rFonts w:ascii="宋体" w:hAnsi="宋体"/>
          <w:color w:val="000000"/>
          <w:szCs w:val="21"/>
        </w:rPr>
      </w:pPr>
      <w:r>
        <w:rPr>
          <w:rFonts w:hint="eastAsia" w:ascii="宋体" w:hAnsi="宋体"/>
          <w:color w:val="000000"/>
          <w:szCs w:val="21"/>
        </w:rPr>
        <w:t>伦理委员会根据送审项目安排审查会议，一般在受理后不超过4周进行会议审查。严重不良事件等情况及时召开紧急会议审查。</w:t>
      </w:r>
    </w:p>
    <w:p>
      <w:pPr>
        <w:pStyle w:val="4"/>
        <w:ind w:left="23" w:firstLine="422"/>
        <w:rPr>
          <w:rFonts w:ascii="宋体" w:hAnsi="宋体"/>
          <w:b/>
          <w:color w:val="FF0000"/>
          <w:szCs w:val="21"/>
          <w:highlight w:val="yellow"/>
        </w:rPr>
      </w:pPr>
      <w:r>
        <w:rPr>
          <w:rFonts w:hint="eastAsia" w:ascii="宋体" w:hAnsi="宋体"/>
          <w:b/>
          <w:color w:val="FF0000"/>
          <w:szCs w:val="21"/>
        </w:rPr>
        <w:t>会议通常每月2次，具体时间安排会在我院官网及公邮群中公示。</w:t>
      </w:r>
    </w:p>
    <w:p>
      <w:pPr>
        <w:pStyle w:val="4"/>
        <w:ind w:firstLine="0" w:firstLineChars="0"/>
        <w:rPr>
          <w:rFonts w:ascii="宋体" w:hAnsi="宋体"/>
          <w:color w:val="000000"/>
          <w:szCs w:val="21"/>
        </w:rPr>
      </w:pPr>
    </w:p>
    <w:p>
      <w:pPr>
        <w:pStyle w:val="4"/>
        <w:ind w:firstLine="0" w:firstLineChars="0"/>
        <w:rPr>
          <w:rFonts w:ascii="宋体" w:hAnsi="宋体"/>
          <w:b/>
          <w:color w:val="000000"/>
          <w:szCs w:val="21"/>
        </w:rPr>
      </w:pPr>
      <w:r>
        <w:rPr>
          <w:rFonts w:hint="eastAsia" w:ascii="宋体" w:hAnsi="宋体"/>
          <w:b/>
          <w:color w:val="000000"/>
          <w:szCs w:val="21"/>
        </w:rPr>
        <w:t>六、审查决定的传达</w:t>
      </w:r>
    </w:p>
    <w:p>
      <w:pPr>
        <w:pStyle w:val="4"/>
        <w:rPr>
          <w:rFonts w:ascii="宋体" w:hAnsi="宋体"/>
          <w:color w:val="000000"/>
          <w:szCs w:val="21"/>
        </w:rPr>
      </w:pPr>
      <w:r>
        <w:rPr>
          <w:rFonts w:hint="eastAsia" w:ascii="宋体" w:hAnsi="宋体"/>
          <w:color w:val="000000"/>
          <w:szCs w:val="21"/>
        </w:rPr>
        <w:t>伦理委员会办公室在伦理审查决定做出后10个工作日内，以“伦理审查批件”或“伦理审查意见”的书面方式传达审查决定。</w:t>
      </w:r>
    </w:p>
    <w:p>
      <w:pPr>
        <w:pStyle w:val="4"/>
        <w:rPr>
          <w:rFonts w:ascii="宋体" w:hAnsi="宋体"/>
          <w:color w:val="000000"/>
          <w:szCs w:val="21"/>
        </w:rPr>
      </w:pPr>
      <w:r>
        <w:rPr>
          <w:rFonts w:hint="eastAsia" w:ascii="宋体" w:hAnsi="宋体"/>
          <w:color w:val="000000"/>
          <w:szCs w:val="21"/>
        </w:rPr>
        <w:t>审查类别属于严重不良事件审查、违背方案审查、暂停/提前终止研究审查、年度/定期跟踪审查、结题报告审查，以及上述审查类别审查后的复审，如果审查意见为肯定性决定（同意继续进行研究，或不需要采取进一步的措施），伦理委员会不传达纸质版决定。</w:t>
      </w:r>
    </w:p>
    <w:p>
      <w:pPr>
        <w:pStyle w:val="4"/>
        <w:ind w:firstLine="0" w:firstLineChars="0"/>
        <w:rPr>
          <w:rFonts w:ascii="宋体" w:hAnsi="宋体"/>
          <w:color w:val="000000"/>
          <w:szCs w:val="21"/>
        </w:rPr>
      </w:pPr>
    </w:p>
    <w:p>
      <w:pPr>
        <w:pStyle w:val="4"/>
        <w:ind w:firstLine="0" w:firstLineChars="0"/>
        <w:rPr>
          <w:rFonts w:ascii="宋体" w:hAnsi="宋体"/>
          <w:b/>
          <w:color w:val="000000"/>
          <w:szCs w:val="21"/>
        </w:rPr>
      </w:pPr>
      <w:r>
        <w:rPr>
          <w:rFonts w:hint="eastAsia" w:ascii="宋体" w:hAnsi="宋体"/>
          <w:b/>
          <w:color w:val="000000"/>
          <w:szCs w:val="21"/>
        </w:rPr>
        <w:t>七、免除审查</w:t>
      </w:r>
    </w:p>
    <w:p>
      <w:pPr>
        <w:pStyle w:val="4"/>
        <w:ind w:firstLineChars="0"/>
        <w:rPr>
          <w:rFonts w:ascii="宋体" w:hAnsi="宋体"/>
          <w:color w:val="000000"/>
          <w:szCs w:val="21"/>
        </w:rPr>
      </w:pPr>
      <w:r>
        <w:rPr>
          <w:rFonts w:hint="eastAsia" w:ascii="宋体" w:hAnsi="宋体"/>
          <w:color w:val="000000"/>
          <w:szCs w:val="21"/>
        </w:rPr>
        <w:t>符合以下情况的生物医学研究项目可以申请免除审查：</w:t>
      </w:r>
    </w:p>
    <w:p>
      <w:pPr>
        <w:pStyle w:val="4"/>
        <w:numPr>
          <w:ilvl w:val="0"/>
          <w:numId w:val="7"/>
        </w:numPr>
        <w:tabs>
          <w:tab w:val="left" w:pos="862"/>
        </w:tabs>
        <w:ind w:left="21" w:leftChars="10" w:firstLineChars="0"/>
        <w:rPr>
          <w:rFonts w:ascii="宋体" w:hAnsi="宋体"/>
          <w:szCs w:val="21"/>
        </w:rPr>
      </w:pPr>
      <w:r>
        <w:rPr>
          <w:rFonts w:hint="eastAsia" w:ascii="宋体" w:hAnsi="宋体"/>
          <w:szCs w:val="21"/>
        </w:rPr>
        <w:t>在正常的教育、培训环境下开展的研究，如：①对常规和特殊教学方法的研究；②关于教学方法、课程或课堂管理的效果研究，或对不同的教学方法、课程或课堂管理进行对比研究；</w:t>
      </w:r>
    </w:p>
    <w:p>
      <w:pPr>
        <w:pStyle w:val="4"/>
        <w:numPr>
          <w:ilvl w:val="0"/>
          <w:numId w:val="7"/>
        </w:numPr>
        <w:tabs>
          <w:tab w:val="left" w:pos="862"/>
        </w:tabs>
        <w:ind w:left="21" w:leftChars="10" w:firstLineChars="0"/>
        <w:rPr>
          <w:rFonts w:ascii="宋体" w:hAnsi="宋体"/>
          <w:szCs w:val="21"/>
        </w:rPr>
      </w:pPr>
      <w:r>
        <w:rPr>
          <w:rFonts w:hint="eastAsia" w:ascii="宋体" w:hAnsi="宋体"/>
          <w:szCs w:val="21"/>
        </w:rPr>
        <w:t>涉及教育、培训测试（认知、判断、态度、成效）、访谈调查、或公共行为观察的研究。</w:t>
      </w:r>
    </w:p>
    <w:p>
      <w:pPr>
        <w:pStyle w:val="4"/>
        <w:numPr>
          <w:ilvl w:val="1"/>
          <w:numId w:val="7"/>
        </w:numPr>
        <w:tabs>
          <w:tab w:val="left" w:pos="840"/>
          <w:tab w:val="clear" w:pos="22"/>
        </w:tabs>
        <w:ind w:left="840" w:firstLineChars="0"/>
        <w:rPr>
          <w:rFonts w:ascii="宋体" w:hAnsi="宋体"/>
          <w:szCs w:val="21"/>
        </w:rPr>
      </w:pPr>
      <w:r>
        <w:rPr>
          <w:rFonts w:hint="eastAsia" w:ascii="宋体" w:hAnsi="宋体"/>
          <w:szCs w:val="21"/>
        </w:rPr>
        <w:t>以下情况不能免除审查：①以直接或通过标识符的方式记录受试者信息</w:t>
      </w:r>
      <w:r>
        <w:rPr>
          <w:rFonts w:hint="eastAsia"/>
        </w:rPr>
        <w:t>，</w:t>
      </w:r>
      <w:r>
        <w:rPr>
          <w:rFonts w:hint="eastAsia" w:ascii="宋体" w:hAnsi="宋体"/>
          <w:szCs w:val="21"/>
        </w:rPr>
        <w:t>可以追踪到受试者；②在研究以外公开受试者信息可能会让受试者承担刑事或民事责任的风险，或损害受试者的经济、就业或名誉；③上述不能免除审查的情况，如果受试者为政府官员或政府官员候选人，或者国家有关法规要求在研究过程中及研究后对私人信息必须保密的情况，则可以免除审查。</w:t>
      </w:r>
    </w:p>
    <w:p>
      <w:pPr>
        <w:pStyle w:val="4"/>
        <w:numPr>
          <w:ilvl w:val="1"/>
          <w:numId w:val="7"/>
        </w:numPr>
        <w:tabs>
          <w:tab w:val="left" w:pos="840"/>
          <w:tab w:val="clear" w:pos="22"/>
        </w:tabs>
        <w:ind w:left="840" w:firstLineChars="0"/>
        <w:rPr>
          <w:rFonts w:ascii="宋体" w:hAnsi="宋体"/>
          <w:szCs w:val="21"/>
        </w:rPr>
      </w:pPr>
      <w:r>
        <w:rPr>
          <w:rFonts w:hint="eastAsia" w:ascii="宋体" w:hAnsi="宋体"/>
          <w:szCs w:val="21"/>
        </w:rPr>
        <w:t>“涉及访谈调查，公共行为观察的研究”的免除审查一般不适用于儿童与未成年人，除非研究者不参与被视察的公共行为。</w:t>
      </w:r>
    </w:p>
    <w:p>
      <w:pPr>
        <w:pStyle w:val="4"/>
        <w:numPr>
          <w:ilvl w:val="0"/>
          <w:numId w:val="7"/>
        </w:numPr>
        <w:tabs>
          <w:tab w:val="left" w:pos="862"/>
        </w:tabs>
        <w:ind w:left="21" w:leftChars="10" w:firstLineChars="0"/>
        <w:rPr>
          <w:rFonts w:ascii="宋体" w:hAnsi="宋体"/>
          <w:szCs w:val="21"/>
        </w:rPr>
      </w:pPr>
      <w:r>
        <w:rPr>
          <w:rFonts w:hint="eastAsia" w:ascii="宋体" w:hAnsi="宋体"/>
          <w:szCs w:val="21"/>
        </w:rPr>
        <w:t>食品口味和质量评价以及消费者接受性研究：①研究用健康食品不含添加剂；或②研究用食品所含食品添加剂在安全范围，且不超过国家有关部门标准，或化学农药或环境污染物含量不超出国家有关部门的安全范围。</w:t>
      </w:r>
    </w:p>
    <w:p>
      <w:pPr>
        <w:pStyle w:val="4"/>
        <w:numPr>
          <w:ilvl w:val="0"/>
          <w:numId w:val="7"/>
        </w:numPr>
        <w:tabs>
          <w:tab w:val="left" w:pos="862"/>
        </w:tabs>
        <w:ind w:firstLineChars="0"/>
        <w:rPr>
          <w:rFonts w:ascii="宋体" w:hAnsi="宋体"/>
          <w:szCs w:val="21"/>
        </w:rPr>
      </w:pPr>
      <w:r>
        <w:rPr>
          <w:rFonts w:hint="eastAsia" w:ascii="宋体" w:hAnsi="宋体"/>
          <w:szCs w:val="21"/>
        </w:rPr>
        <w:t>收集研究已经有的数据、记录、废弃的病理标本</w:t>
      </w:r>
      <w:r>
        <w:rPr>
          <w:rFonts w:ascii="宋体" w:hAnsi="宋体"/>
          <w:szCs w:val="21"/>
        </w:rPr>
        <w:t>/检查标本，</w:t>
      </w:r>
      <w:r>
        <w:rPr>
          <w:rFonts w:hint="eastAsia" w:ascii="宋体" w:hAnsi="宋体"/>
          <w:szCs w:val="21"/>
        </w:rPr>
        <w:t>并且这些资源是公共资源，或者由研究者保存的信息不会识别受试者，也不会直接或间接地识别受试者。</w:t>
      </w:r>
    </w:p>
    <w:p>
      <w:pPr>
        <w:pStyle w:val="4"/>
        <w:numPr>
          <w:ilvl w:val="0"/>
          <w:numId w:val="7"/>
        </w:numPr>
        <w:tabs>
          <w:tab w:val="left" w:pos="862"/>
        </w:tabs>
        <w:ind w:firstLineChars="0"/>
        <w:rPr>
          <w:rFonts w:ascii="宋体" w:hAnsi="宋体"/>
          <w:szCs w:val="21"/>
        </w:rPr>
      </w:pPr>
      <w:r>
        <w:rPr>
          <w:rFonts w:hint="eastAsia" w:ascii="宋体" w:hAnsi="宋体"/>
          <w:szCs w:val="21"/>
        </w:rPr>
        <w:t>政府部门批准的项目，被用于学习、评估或其他有关的下列一项或多项活动：①公共利益或服务项目；②在项目中为获得利益或服务的程序；这些项目或程序可能的变化或替代方法；③在这些项目中利益或服务的支付方法或水平可能的改变；④研究项目提供公共利益（如医疗福利支持）或服务；⑤研究不涉及对受试者隐私的实质性侵犯。</w:t>
      </w:r>
    </w:p>
    <w:p>
      <w:pPr>
        <w:pStyle w:val="4"/>
        <w:numPr>
          <w:ilvl w:val="0"/>
          <w:numId w:val="7"/>
        </w:numPr>
        <w:tabs>
          <w:tab w:val="left" w:pos="862"/>
        </w:tabs>
        <w:ind w:left="21" w:leftChars="10" w:firstLineChars="0"/>
        <w:rPr>
          <w:rFonts w:ascii="宋体" w:hAnsi="宋体"/>
          <w:b/>
          <w:szCs w:val="21"/>
        </w:rPr>
      </w:pPr>
      <w:r>
        <w:rPr>
          <w:rFonts w:hint="eastAsia" w:ascii="宋体" w:hAnsi="宋体"/>
          <w:b/>
          <w:szCs w:val="21"/>
        </w:rPr>
        <w:t>审查标准举例</w:t>
      </w:r>
    </w:p>
    <w:p>
      <w:pPr>
        <w:pStyle w:val="4"/>
        <w:numPr>
          <w:ilvl w:val="2"/>
          <w:numId w:val="7"/>
        </w:numPr>
        <w:tabs>
          <w:tab w:val="left" w:pos="420"/>
        </w:tabs>
        <w:ind w:left="21" w:firstLineChars="0"/>
        <w:rPr>
          <w:rFonts w:ascii="宋体" w:hAnsi="宋体"/>
          <w:b/>
          <w:szCs w:val="21"/>
        </w:rPr>
      </w:pPr>
      <w:r>
        <w:rPr>
          <w:rFonts w:hint="eastAsia" w:ascii="宋体" w:hAnsi="宋体"/>
          <w:szCs w:val="21"/>
        </w:rPr>
        <w:t>研究对受试者的风险不大于最小风险；</w:t>
      </w:r>
    </w:p>
    <w:p>
      <w:pPr>
        <w:pStyle w:val="4"/>
        <w:numPr>
          <w:ilvl w:val="2"/>
          <w:numId w:val="7"/>
        </w:numPr>
        <w:tabs>
          <w:tab w:val="left" w:pos="420"/>
        </w:tabs>
        <w:ind w:left="21" w:firstLineChars="0"/>
        <w:rPr>
          <w:rFonts w:ascii="宋体" w:hAnsi="宋体"/>
          <w:b/>
          <w:szCs w:val="21"/>
        </w:rPr>
      </w:pPr>
      <w:r>
        <w:rPr>
          <w:rFonts w:hint="eastAsia" w:ascii="宋体" w:hAnsi="宋体"/>
          <w:szCs w:val="21"/>
        </w:rPr>
        <w:t>受试者选择公平；</w:t>
      </w:r>
    </w:p>
    <w:p>
      <w:pPr>
        <w:pStyle w:val="4"/>
        <w:numPr>
          <w:ilvl w:val="2"/>
          <w:numId w:val="7"/>
        </w:numPr>
        <w:tabs>
          <w:tab w:val="left" w:pos="420"/>
        </w:tabs>
        <w:ind w:left="21" w:firstLineChars="0"/>
        <w:rPr>
          <w:rFonts w:ascii="宋体" w:hAnsi="宋体"/>
          <w:b/>
          <w:szCs w:val="21"/>
        </w:rPr>
      </w:pPr>
      <w:r>
        <w:rPr>
          <w:rFonts w:hint="eastAsia" w:ascii="宋体" w:hAnsi="宋体"/>
          <w:szCs w:val="21"/>
        </w:rPr>
        <w:t>如果需要记录可识别受试者的信息，有相应的制度保证数据的保密性；</w:t>
      </w:r>
    </w:p>
    <w:p>
      <w:pPr>
        <w:pStyle w:val="4"/>
        <w:numPr>
          <w:ilvl w:val="2"/>
          <w:numId w:val="7"/>
        </w:numPr>
        <w:tabs>
          <w:tab w:val="left" w:pos="420"/>
        </w:tabs>
        <w:ind w:left="21" w:firstLineChars="0"/>
        <w:rPr>
          <w:rFonts w:ascii="宋体" w:hAnsi="宋体"/>
          <w:b/>
          <w:szCs w:val="21"/>
        </w:rPr>
      </w:pPr>
      <w:r>
        <w:rPr>
          <w:rFonts w:hint="eastAsia" w:ascii="宋体" w:hAnsi="宋体"/>
          <w:szCs w:val="21"/>
        </w:rPr>
        <w:t>如果与受试者有互动，伦理委员会需要决定是否需要知情同意，告知以下信息：</w:t>
      </w:r>
    </w:p>
    <w:p>
      <w:pPr>
        <w:pStyle w:val="4"/>
        <w:numPr>
          <w:ilvl w:val="3"/>
          <w:numId w:val="7"/>
        </w:numPr>
        <w:tabs>
          <w:tab w:val="left" w:pos="420"/>
        </w:tabs>
        <w:ind w:left="21" w:firstLineChars="0"/>
        <w:rPr>
          <w:rFonts w:ascii="宋体" w:hAnsi="宋体"/>
          <w:b/>
          <w:szCs w:val="21"/>
        </w:rPr>
      </w:pPr>
      <w:r>
        <w:rPr>
          <w:rFonts w:hint="eastAsia" w:ascii="宋体" w:hAnsi="宋体"/>
          <w:szCs w:val="21"/>
        </w:rPr>
        <w:t>互动与研究有关；</w:t>
      </w:r>
    </w:p>
    <w:p>
      <w:pPr>
        <w:pStyle w:val="4"/>
        <w:numPr>
          <w:ilvl w:val="3"/>
          <w:numId w:val="7"/>
        </w:numPr>
        <w:tabs>
          <w:tab w:val="left" w:pos="420"/>
        </w:tabs>
        <w:ind w:left="21" w:firstLineChars="0"/>
        <w:rPr>
          <w:rFonts w:ascii="宋体" w:hAnsi="宋体"/>
          <w:b/>
          <w:szCs w:val="21"/>
        </w:rPr>
      </w:pPr>
      <w:r>
        <w:rPr>
          <w:rFonts w:hint="eastAsia" w:ascii="宋体" w:hAnsi="宋体"/>
          <w:szCs w:val="21"/>
        </w:rPr>
        <w:t>对研究过程的描述；</w:t>
      </w:r>
    </w:p>
    <w:p>
      <w:pPr>
        <w:pStyle w:val="4"/>
        <w:numPr>
          <w:ilvl w:val="3"/>
          <w:numId w:val="7"/>
        </w:numPr>
        <w:tabs>
          <w:tab w:val="left" w:pos="420"/>
        </w:tabs>
        <w:ind w:left="21" w:firstLineChars="0"/>
        <w:rPr>
          <w:rFonts w:ascii="宋体" w:hAnsi="宋体"/>
          <w:b/>
          <w:szCs w:val="21"/>
        </w:rPr>
      </w:pPr>
      <w:r>
        <w:rPr>
          <w:rFonts w:hint="eastAsia" w:ascii="宋体" w:hAnsi="宋体"/>
          <w:szCs w:val="21"/>
        </w:rPr>
        <w:t>自愿参加研究；</w:t>
      </w:r>
    </w:p>
    <w:p>
      <w:pPr>
        <w:pStyle w:val="4"/>
        <w:numPr>
          <w:ilvl w:val="3"/>
          <w:numId w:val="7"/>
        </w:numPr>
        <w:tabs>
          <w:tab w:val="left" w:pos="420"/>
        </w:tabs>
        <w:ind w:left="21" w:firstLineChars="0"/>
        <w:rPr>
          <w:rFonts w:ascii="宋体" w:hAnsi="宋体"/>
          <w:b/>
          <w:szCs w:val="21"/>
        </w:rPr>
      </w:pPr>
      <w:r>
        <w:rPr>
          <w:rFonts w:hint="eastAsia" w:ascii="宋体" w:hAnsi="宋体"/>
          <w:szCs w:val="21"/>
        </w:rPr>
        <w:t>研究者的姓名与联系方式。</w:t>
      </w:r>
    </w:p>
    <w:p>
      <w:pPr>
        <w:pStyle w:val="4"/>
        <w:numPr>
          <w:ilvl w:val="2"/>
          <w:numId w:val="7"/>
        </w:numPr>
        <w:tabs>
          <w:tab w:val="left" w:pos="420"/>
        </w:tabs>
        <w:ind w:left="21" w:firstLineChars="0"/>
        <w:rPr>
          <w:rFonts w:ascii="宋体" w:hAnsi="宋体"/>
          <w:b/>
          <w:szCs w:val="21"/>
        </w:rPr>
      </w:pPr>
      <w:r>
        <w:rPr>
          <w:rFonts w:hint="eastAsia" w:ascii="宋体" w:hAnsi="宋体"/>
          <w:szCs w:val="21"/>
        </w:rPr>
        <w:t>有相应的制度保证受试者的隐私权。</w:t>
      </w:r>
    </w:p>
    <w:p>
      <w:pPr>
        <w:pStyle w:val="4"/>
        <w:numPr>
          <w:ilvl w:val="2"/>
          <w:numId w:val="7"/>
        </w:numPr>
        <w:tabs>
          <w:tab w:val="left" w:pos="420"/>
        </w:tabs>
        <w:ind w:left="21" w:firstLineChars="0"/>
        <w:rPr>
          <w:rFonts w:ascii="宋体" w:hAnsi="宋体"/>
          <w:b/>
          <w:szCs w:val="21"/>
        </w:rPr>
      </w:pPr>
      <w:r>
        <w:rPr>
          <w:rFonts w:hint="eastAsia" w:ascii="宋体" w:hAnsi="宋体"/>
          <w:szCs w:val="21"/>
        </w:rPr>
        <w:t>对弱势群体的额外保护措施（老人、行为能力受限制的成人、儿童等）</w:t>
      </w:r>
    </w:p>
    <w:p>
      <w:pPr>
        <w:pStyle w:val="4"/>
        <w:numPr>
          <w:ilvl w:val="0"/>
          <w:numId w:val="7"/>
        </w:numPr>
        <w:tabs>
          <w:tab w:val="left" w:pos="862"/>
        </w:tabs>
        <w:ind w:left="21" w:leftChars="10" w:firstLineChars="0"/>
        <w:rPr>
          <w:rFonts w:ascii="宋体" w:hAnsi="宋体"/>
          <w:b/>
          <w:szCs w:val="21"/>
        </w:rPr>
      </w:pPr>
      <w:r>
        <w:rPr>
          <w:rFonts w:hint="eastAsia" w:ascii="宋体" w:hAnsi="宋体"/>
          <w:b/>
          <w:szCs w:val="21"/>
        </w:rPr>
        <w:t>特殊受试人群免除审查的规定：</w:t>
      </w:r>
    </w:p>
    <w:p>
      <w:pPr>
        <w:pStyle w:val="4"/>
        <w:numPr>
          <w:ilvl w:val="1"/>
          <w:numId w:val="7"/>
        </w:numPr>
        <w:tabs>
          <w:tab w:val="left" w:pos="840"/>
          <w:tab w:val="clear" w:pos="22"/>
        </w:tabs>
        <w:ind w:left="840" w:firstLineChars="0"/>
        <w:rPr>
          <w:rFonts w:ascii="宋体" w:hAnsi="宋体"/>
          <w:b/>
          <w:szCs w:val="21"/>
        </w:rPr>
      </w:pPr>
      <w:r>
        <w:rPr>
          <w:rFonts w:hint="eastAsia" w:ascii="宋体" w:hAnsi="宋体"/>
          <w:szCs w:val="21"/>
        </w:rPr>
        <w:t>免除审查不适用于涉及孕妇、胎儿、新生儿、试管婴儿、精神障碍人员和服刑劳教人员的研究。</w:t>
      </w:r>
    </w:p>
    <w:p>
      <w:pPr>
        <w:pStyle w:val="4"/>
        <w:ind w:firstLine="422" w:firstLineChars="0"/>
        <w:rPr>
          <w:rFonts w:ascii="宋体" w:hAnsi="宋体"/>
          <w:b/>
          <w:szCs w:val="21"/>
        </w:rPr>
      </w:pPr>
      <w:r>
        <w:rPr>
          <w:rFonts w:hint="eastAsia" w:ascii="宋体" w:hAnsi="宋体"/>
          <w:b/>
          <w:szCs w:val="21"/>
        </w:rPr>
        <w:t>研究者不能自行做出“免除伦理审查”的判断，应向伦理委员会提交免除审查申请，与研究方案等相关材料，由伦理委员会主任委员或授权者审核确定。</w:t>
      </w:r>
    </w:p>
    <w:p>
      <w:pPr>
        <w:pStyle w:val="4"/>
        <w:ind w:firstLine="422" w:firstLineChars="0"/>
        <w:rPr>
          <w:rFonts w:ascii="宋体" w:hAnsi="宋体"/>
          <w:b/>
          <w:szCs w:val="21"/>
        </w:rPr>
      </w:pPr>
      <w:r>
        <w:rPr>
          <w:rFonts w:hint="eastAsia" w:ascii="宋体" w:hAnsi="宋体"/>
          <w:b/>
          <w:szCs w:val="21"/>
        </w:rPr>
        <w:t>伦理委员会保留对符合免除审查条件的研究项目实施审查的权利。</w:t>
      </w:r>
    </w:p>
    <w:p>
      <w:pPr>
        <w:pStyle w:val="4"/>
        <w:ind w:firstLine="422" w:firstLineChars="0"/>
        <w:rPr>
          <w:rFonts w:ascii="宋体" w:hAnsi="宋体"/>
          <w:b/>
          <w:color w:val="FF0000"/>
          <w:szCs w:val="21"/>
        </w:rPr>
      </w:pPr>
    </w:p>
    <w:p>
      <w:pPr>
        <w:pStyle w:val="4"/>
        <w:ind w:firstLine="0" w:firstLineChars="0"/>
        <w:rPr>
          <w:rFonts w:ascii="宋体" w:hAnsi="宋体"/>
          <w:b/>
          <w:color w:val="000000"/>
          <w:szCs w:val="21"/>
        </w:rPr>
      </w:pPr>
      <w:r>
        <w:rPr>
          <w:rFonts w:hint="eastAsia" w:ascii="宋体" w:hAnsi="宋体"/>
          <w:b/>
          <w:color w:val="000000"/>
          <w:szCs w:val="21"/>
        </w:rPr>
        <w:t>八、免除知情同意</w:t>
      </w:r>
    </w:p>
    <w:p>
      <w:pPr>
        <w:pStyle w:val="4"/>
        <w:numPr>
          <w:ilvl w:val="0"/>
          <w:numId w:val="8"/>
        </w:numPr>
        <w:tabs>
          <w:tab w:val="clear" w:pos="420"/>
        </w:tabs>
        <w:ind w:left="855" w:firstLineChars="0"/>
        <w:rPr>
          <w:rFonts w:ascii="宋体" w:hAnsi="宋体"/>
          <w:color w:val="000000"/>
          <w:szCs w:val="21"/>
        </w:rPr>
      </w:pPr>
      <w:r>
        <w:rPr>
          <w:rFonts w:hint="eastAsia" w:ascii="宋体" w:hAnsi="宋体"/>
          <w:color w:val="000000"/>
          <w:szCs w:val="21"/>
        </w:rPr>
        <w:t>调查和观察性研究，以及利用既往</w:t>
      </w:r>
      <w:r>
        <w:rPr>
          <w:rFonts w:hint="eastAsia" w:ascii="宋体" w:hAnsi="宋体"/>
          <w:b/>
          <w:color w:val="000000"/>
          <w:szCs w:val="21"/>
        </w:rPr>
        <w:t>临床诊疗</w:t>
      </w:r>
      <w:r>
        <w:rPr>
          <w:rFonts w:hint="eastAsia" w:ascii="宋体" w:hAnsi="宋体"/>
          <w:color w:val="000000"/>
          <w:szCs w:val="21"/>
        </w:rPr>
        <w:t>中获得的医疗记录和生物学标本的研究，并且符合以下全部条件，可以申请免除知情同意：</w:t>
      </w:r>
    </w:p>
    <w:p>
      <w:pPr>
        <w:pStyle w:val="4"/>
        <w:numPr>
          <w:ilvl w:val="1"/>
          <w:numId w:val="8"/>
        </w:numPr>
        <w:tabs>
          <w:tab w:val="clear" w:pos="22"/>
        </w:tabs>
        <w:ind w:left="1275" w:firstLineChars="0"/>
        <w:rPr>
          <w:rFonts w:ascii="宋体" w:hAnsi="宋体"/>
          <w:color w:val="000000"/>
          <w:szCs w:val="21"/>
        </w:rPr>
      </w:pPr>
      <w:r>
        <w:rPr>
          <w:rFonts w:hint="eastAsia" w:ascii="宋体" w:hAnsi="宋体"/>
          <w:color w:val="000000"/>
          <w:szCs w:val="21"/>
        </w:rPr>
        <w:t>研究目的是重要的；</w:t>
      </w:r>
    </w:p>
    <w:p>
      <w:pPr>
        <w:pStyle w:val="4"/>
        <w:numPr>
          <w:ilvl w:val="1"/>
          <w:numId w:val="8"/>
        </w:numPr>
        <w:tabs>
          <w:tab w:val="clear" w:pos="22"/>
        </w:tabs>
        <w:ind w:left="1275" w:firstLineChars="0"/>
        <w:rPr>
          <w:rFonts w:ascii="宋体" w:hAnsi="宋体"/>
          <w:color w:val="000000"/>
          <w:szCs w:val="21"/>
        </w:rPr>
      </w:pPr>
      <w:r>
        <w:rPr>
          <w:rFonts w:hint="eastAsia" w:ascii="宋体" w:hAnsi="宋体"/>
          <w:color w:val="000000"/>
          <w:szCs w:val="21"/>
        </w:rPr>
        <w:t>研究对受试者的风险不大于最小风险；</w:t>
      </w:r>
    </w:p>
    <w:p>
      <w:pPr>
        <w:pStyle w:val="4"/>
        <w:numPr>
          <w:ilvl w:val="1"/>
          <w:numId w:val="8"/>
        </w:numPr>
        <w:tabs>
          <w:tab w:val="clear" w:pos="22"/>
        </w:tabs>
        <w:ind w:left="1275" w:firstLineChars="0"/>
        <w:rPr>
          <w:rFonts w:ascii="宋体" w:hAnsi="宋体"/>
          <w:color w:val="000000"/>
          <w:szCs w:val="21"/>
        </w:rPr>
      </w:pPr>
      <w:r>
        <w:rPr>
          <w:rFonts w:hint="eastAsia" w:ascii="宋体" w:hAnsi="宋体"/>
          <w:color w:val="000000"/>
          <w:szCs w:val="21"/>
        </w:rPr>
        <w:t>免除知情同意不会对受试者的权利和健康产生不利的影响；</w:t>
      </w:r>
    </w:p>
    <w:p>
      <w:pPr>
        <w:pStyle w:val="4"/>
        <w:numPr>
          <w:ilvl w:val="1"/>
          <w:numId w:val="8"/>
        </w:numPr>
        <w:tabs>
          <w:tab w:val="clear" w:pos="22"/>
        </w:tabs>
        <w:ind w:left="1275" w:firstLineChars="0"/>
        <w:rPr>
          <w:rFonts w:ascii="宋体" w:hAnsi="宋体"/>
          <w:color w:val="000000"/>
          <w:szCs w:val="21"/>
        </w:rPr>
      </w:pPr>
      <w:r>
        <w:rPr>
          <w:rFonts w:hint="eastAsia" w:ascii="宋体" w:hAnsi="宋体"/>
          <w:color w:val="000000"/>
          <w:szCs w:val="21"/>
        </w:rPr>
        <w:t>受试者的隐私和个人身份信息的保密得到保证；</w:t>
      </w:r>
    </w:p>
    <w:p>
      <w:pPr>
        <w:pStyle w:val="4"/>
        <w:numPr>
          <w:ilvl w:val="1"/>
          <w:numId w:val="8"/>
        </w:numPr>
        <w:tabs>
          <w:tab w:val="clear" w:pos="22"/>
        </w:tabs>
        <w:ind w:left="1275" w:firstLineChars="0"/>
        <w:rPr>
          <w:rFonts w:ascii="宋体" w:hAnsi="宋体"/>
          <w:color w:val="000000"/>
          <w:szCs w:val="21"/>
        </w:rPr>
      </w:pPr>
      <w:r>
        <w:rPr>
          <w:rFonts w:hint="eastAsia" w:ascii="宋体" w:hAnsi="宋体"/>
          <w:color w:val="000000"/>
          <w:szCs w:val="21"/>
        </w:rPr>
        <w:t>若规定需获取知情同意，研究将无法进行（病人/受试者拒绝或不同意参加研究，不是研究无法实施、免除知情同意的理由）；</w:t>
      </w:r>
    </w:p>
    <w:p>
      <w:pPr>
        <w:pStyle w:val="4"/>
        <w:numPr>
          <w:ilvl w:val="1"/>
          <w:numId w:val="8"/>
        </w:numPr>
        <w:tabs>
          <w:tab w:val="clear" w:pos="22"/>
        </w:tabs>
        <w:ind w:left="1275" w:firstLineChars="0"/>
        <w:rPr>
          <w:rFonts w:ascii="宋体" w:hAnsi="宋体"/>
          <w:color w:val="000000"/>
          <w:szCs w:val="21"/>
        </w:rPr>
      </w:pPr>
      <w:r>
        <w:rPr>
          <w:rFonts w:hint="eastAsia" w:ascii="宋体" w:hAnsi="宋体"/>
          <w:color w:val="000000"/>
          <w:szCs w:val="21"/>
        </w:rPr>
        <w:t>只要有可能，应在研究后的适当时候向受试者提供适当的有关信息。</w:t>
      </w:r>
    </w:p>
    <w:p>
      <w:pPr>
        <w:pStyle w:val="4"/>
        <w:ind w:firstLine="435" w:firstLineChars="0"/>
        <w:rPr>
          <w:rFonts w:ascii="宋体" w:hAnsi="宋体"/>
          <w:color w:val="000000"/>
          <w:szCs w:val="21"/>
        </w:rPr>
      </w:pPr>
      <w:r>
        <w:rPr>
          <w:rFonts w:hint="eastAsia" w:ascii="宋体" w:hAnsi="宋体"/>
          <w:color w:val="000000"/>
          <w:szCs w:val="21"/>
        </w:rPr>
        <w:t>若病人/受试者以前已明确拒绝在将来的研究中使用其医疗记录和标本，则该受试者的医疗记录和标本只有在公共卫生紧急需要时才可被使用。</w:t>
      </w:r>
    </w:p>
    <w:p>
      <w:pPr>
        <w:pStyle w:val="4"/>
        <w:numPr>
          <w:ilvl w:val="0"/>
          <w:numId w:val="9"/>
        </w:numPr>
        <w:ind w:firstLineChars="0"/>
        <w:rPr>
          <w:rFonts w:ascii="宋体" w:hAnsi="宋体"/>
          <w:color w:val="000000"/>
          <w:szCs w:val="21"/>
        </w:rPr>
      </w:pPr>
      <w:r>
        <w:rPr>
          <w:rFonts w:hint="eastAsia" w:ascii="宋体" w:hAnsi="宋体"/>
          <w:color w:val="000000"/>
          <w:szCs w:val="21"/>
        </w:rPr>
        <w:t>利用既往</w:t>
      </w:r>
      <w:r>
        <w:rPr>
          <w:rFonts w:hint="eastAsia" w:ascii="宋体" w:hAnsi="宋体"/>
          <w:b/>
          <w:color w:val="000000"/>
          <w:szCs w:val="21"/>
        </w:rPr>
        <w:t>研究</w:t>
      </w:r>
      <w:r>
        <w:rPr>
          <w:rFonts w:hint="eastAsia" w:ascii="宋体" w:hAnsi="宋体"/>
          <w:color w:val="000000"/>
          <w:szCs w:val="21"/>
        </w:rPr>
        <w:t>中获得的医疗记录和生物学标本的研究（研究病历/生物标本的二次利用），并且符合以下全部条件，可以申请免除知情同意：</w:t>
      </w:r>
    </w:p>
    <w:p>
      <w:pPr>
        <w:pStyle w:val="4"/>
        <w:numPr>
          <w:ilvl w:val="1"/>
          <w:numId w:val="9"/>
        </w:numPr>
        <w:ind w:firstLineChars="0"/>
        <w:rPr>
          <w:rFonts w:ascii="宋体" w:hAnsi="宋体"/>
          <w:color w:val="000000"/>
          <w:szCs w:val="21"/>
        </w:rPr>
      </w:pPr>
      <w:r>
        <w:rPr>
          <w:rFonts w:hint="eastAsia" w:ascii="宋体" w:hAnsi="宋体"/>
          <w:color w:val="000000"/>
          <w:szCs w:val="21"/>
        </w:rPr>
        <w:t>既往研究已获得受试者的书面同意，允许其他的研究项目使用其病历或标本；</w:t>
      </w:r>
    </w:p>
    <w:p>
      <w:pPr>
        <w:pStyle w:val="4"/>
        <w:numPr>
          <w:ilvl w:val="1"/>
          <w:numId w:val="9"/>
        </w:numPr>
        <w:ind w:firstLineChars="0"/>
        <w:rPr>
          <w:rFonts w:ascii="宋体" w:hAnsi="宋体"/>
          <w:color w:val="000000"/>
          <w:szCs w:val="21"/>
        </w:rPr>
      </w:pPr>
      <w:r>
        <w:rPr>
          <w:rFonts w:hint="eastAsia" w:ascii="宋体" w:hAnsi="宋体"/>
          <w:color w:val="000000"/>
          <w:szCs w:val="21"/>
        </w:rPr>
        <w:t>本次研究符合原知情同意的许可条件；</w:t>
      </w:r>
    </w:p>
    <w:p>
      <w:pPr>
        <w:pStyle w:val="4"/>
        <w:numPr>
          <w:ilvl w:val="1"/>
          <w:numId w:val="9"/>
        </w:numPr>
        <w:ind w:firstLineChars="0"/>
        <w:rPr>
          <w:rFonts w:ascii="宋体" w:hAnsi="宋体"/>
          <w:color w:val="000000"/>
          <w:szCs w:val="21"/>
        </w:rPr>
      </w:pPr>
      <w:r>
        <w:rPr>
          <w:rFonts w:hint="eastAsia" w:ascii="宋体" w:hAnsi="宋体"/>
          <w:color w:val="000000"/>
          <w:szCs w:val="21"/>
        </w:rPr>
        <w:t>受试者的隐私和个人身份信息的保密得到保证。</w:t>
      </w:r>
    </w:p>
    <w:p>
      <w:pPr>
        <w:pStyle w:val="4"/>
        <w:ind w:firstLine="0" w:firstLineChars="0"/>
        <w:rPr>
          <w:rFonts w:ascii="宋体" w:hAnsi="宋体"/>
          <w:color w:val="000000"/>
          <w:szCs w:val="21"/>
        </w:rPr>
      </w:pPr>
    </w:p>
    <w:p>
      <w:pPr>
        <w:pStyle w:val="4"/>
        <w:ind w:firstLine="0" w:firstLineChars="0"/>
        <w:rPr>
          <w:rFonts w:ascii="宋体" w:hAnsi="宋体"/>
          <w:b/>
          <w:color w:val="000000"/>
          <w:szCs w:val="21"/>
        </w:rPr>
      </w:pPr>
      <w:r>
        <w:rPr>
          <w:rFonts w:hint="eastAsia" w:ascii="宋体" w:hAnsi="宋体"/>
          <w:b/>
          <w:color w:val="000000"/>
          <w:szCs w:val="21"/>
        </w:rPr>
        <w:t>九、免除知情同意书签字</w:t>
      </w:r>
    </w:p>
    <w:p>
      <w:pPr>
        <w:pStyle w:val="4"/>
        <w:ind w:firstLineChars="0"/>
        <w:rPr>
          <w:rFonts w:ascii="宋体" w:hAnsi="宋体"/>
          <w:color w:val="000000"/>
          <w:szCs w:val="21"/>
        </w:rPr>
      </w:pPr>
      <w:r>
        <w:rPr>
          <w:rFonts w:hint="eastAsia" w:ascii="宋体" w:hAnsi="宋体"/>
          <w:color w:val="000000"/>
          <w:szCs w:val="21"/>
        </w:rPr>
        <w:t>以下两种情况可以申请免除知情同意签字：</w:t>
      </w:r>
    </w:p>
    <w:p>
      <w:pPr>
        <w:pStyle w:val="4"/>
        <w:numPr>
          <w:ilvl w:val="0"/>
          <w:numId w:val="10"/>
        </w:numPr>
        <w:ind w:firstLineChars="0"/>
        <w:rPr>
          <w:rFonts w:ascii="宋体" w:hAnsi="宋体"/>
          <w:color w:val="000000"/>
          <w:szCs w:val="21"/>
        </w:rPr>
      </w:pPr>
      <w:r>
        <w:rPr>
          <w:rFonts w:hint="eastAsia" w:ascii="宋体" w:hAnsi="宋体"/>
          <w:color w:val="000000"/>
          <w:szCs w:val="21"/>
        </w:rPr>
        <w:t>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p>
    <w:p>
      <w:pPr>
        <w:pStyle w:val="4"/>
        <w:numPr>
          <w:ilvl w:val="0"/>
          <w:numId w:val="10"/>
        </w:numPr>
        <w:ind w:firstLineChars="0"/>
        <w:rPr>
          <w:rFonts w:ascii="宋体" w:hAnsi="宋体"/>
          <w:color w:val="000000"/>
          <w:szCs w:val="21"/>
        </w:rPr>
      </w:pPr>
      <w:r>
        <w:rPr>
          <w:rFonts w:hint="eastAsia" w:ascii="宋体" w:hAnsi="宋体"/>
          <w:color w:val="000000"/>
          <w:szCs w:val="21"/>
        </w:rPr>
        <w:t>研究对受试者的风险不大于最小风险，并且如果脱离“研究”背景，相同情况下的行为或程序不要求签署书面知情同意。例如：访谈研究，邮件/电话调查。</w:t>
      </w:r>
    </w:p>
    <w:p>
      <w:pPr>
        <w:pStyle w:val="4"/>
        <w:ind w:firstLineChars="0"/>
        <w:rPr>
          <w:rFonts w:ascii="宋体" w:hAnsi="宋体"/>
          <w:color w:val="000000"/>
          <w:szCs w:val="21"/>
        </w:rPr>
      </w:pPr>
      <w:r>
        <w:rPr>
          <w:rFonts w:hint="eastAsia" w:ascii="宋体" w:hAnsi="宋体"/>
          <w:color w:val="000000"/>
          <w:szCs w:val="21"/>
        </w:rPr>
        <w:t>对于批准免除签署书面知情同意文件的研究项目，伦理委员会可以要求研究者向受试者提供书面告知信息。</w:t>
      </w:r>
    </w:p>
    <w:p>
      <w:pPr>
        <w:pStyle w:val="4"/>
        <w:ind w:firstLine="0" w:firstLineChars="0"/>
        <w:rPr>
          <w:rFonts w:ascii="宋体" w:hAnsi="宋体"/>
          <w:b/>
          <w:color w:val="000000"/>
          <w:szCs w:val="21"/>
        </w:rPr>
      </w:pPr>
    </w:p>
    <w:p>
      <w:pPr>
        <w:pStyle w:val="4"/>
        <w:ind w:firstLine="0" w:firstLineChars="0"/>
        <w:rPr>
          <w:rFonts w:ascii="宋体" w:hAnsi="宋体"/>
          <w:b/>
          <w:color w:val="000000"/>
          <w:szCs w:val="21"/>
        </w:rPr>
      </w:pPr>
      <w:r>
        <w:rPr>
          <w:rFonts w:hint="eastAsia" w:ascii="宋体" w:hAnsi="宋体"/>
          <w:b/>
          <w:color w:val="000000"/>
          <w:szCs w:val="21"/>
        </w:rPr>
        <w:t>十、伦理审查费用</w:t>
      </w:r>
    </w:p>
    <w:p>
      <w:pPr>
        <w:pStyle w:val="4"/>
        <w:rPr>
          <w:rFonts w:ascii="宋体" w:hAnsi="宋体"/>
          <w:color w:val="000000"/>
          <w:szCs w:val="21"/>
        </w:rPr>
      </w:pPr>
      <w:r>
        <w:rPr>
          <w:rFonts w:hint="eastAsia" w:ascii="宋体" w:hAnsi="宋体"/>
          <w:color w:val="000000"/>
          <w:szCs w:val="21"/>
        </w:rPr>
        <w:t>药物/医疗器械/医疗新技术临床试验项目，以及科研课题经费的预算应包括伦理审查费用。</w:t>
      </w:r>
    </w:p>
    <w:p>
      <w:pPr>
        <w:pStyle w:val="4"/>
        <w:rPr>
          <w:rFonts w:ascii="宋体" w:hAnsi="宋体"/>
          <w:color w:val="000000"/>
          <w:szCs w:val="21"/>
        </w:rPr>
      </w:pPr>
      <w:r>
        <w:rPr>
          <w:rFonts w:hint="eastAsia" w:ascii="宋体" w:hAnsi="宋体"/>
          <w:color w:val="000000"/>
          <w:szCs w:val="21"/>
        </w:rPr>
        <w:t>伦理审查项目收费标准为（人民币/项）：</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6"/>
        <w:gridCol w:w="2865"/>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6" w:type="dxa"/>
          </w:tcPr>
          <w:p>
            <w:pPr>
              <w:pStyle w:val="4"/>
              <w:rPr>
                <w:rFonts w:ascii="宋体" w:hAnsi="宋体"/>
                <w:color w:val="000000"/>
                <w:szCs w:val="21"/>
              </w:rPr>
            </w:pPr>
            <w:r>
              <w:rPr>
                <w:rFonts w:hint="eastAsia" w:ascii="宋体" w:hAnsi="宋体"/>
                <w:color w:val="000000"/>
                <w:szCs w:val="21"/>
              </w:rPr>
              <w:t>审查类型</w:t>
            </w:r>
          </w:p>
        </w:tc>
        <w:tc>
          <w:tcPr>
            <w:tcW w:w="2865" w:type="dxa"/>
          </w:tcPr>
          <w:p>
            <w:pPr>
              <w:pStyle w:val="4"/>
              <w:rPr>
                <w:rFonts w:ascii="宋体" w:hAnsi="宋体"/>
                <w:color w:val="000000"/>
                <w:szCs w:val="21"/>
              </w:rPr>
            </w:pPr>
            <w:r>
              <w:rPr>
                <w:rFonts w:hint="eastAsia" w:ascii="宋体" w:hAnsi="宋体"/>
                <w:color w:val="000000"/>
                <w:szCs w:val="21"/>
              </w:rPr>
              <w:t>会议审查</w:t>
            </w:r>
          </w:p>
        </w:tc>
        <w:tc>
          <w:tcPr>
            <w:tcW w:w="2281" w:type="dxa"/>
          </w:tcPr>
          <w:p>
            <w:pPr>
              <w:pStyle w:val="4"/>
              <w:rPr>
                <w:rFonts w:ascii="宋体" w:hAnsi="宋体"/>
                <w:color w:val="000000"/>
                <w:szCs w:val="21"/>
              </w:rPr>
            </w:pPr>
            <w:r>
              <w:rPr>
                <w:rFonts w:hint="eastAsia" w:ascii="宋体" w:hAnsi="宋体"/>
                <w:color w:val="000000"/>
                <w:szCs w:val="21"/>
              </w:rPr>
              <w:t>快速审查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6" w:type="dxa"/>
          </w:tcPr>
          <w:p>
            <w:pPr>
              <w:pStyle w:val="4"/>
              <w:rPr>
                <w:rFonts w:ascii="宋体" w:hAnsi="宋体"/>
                <w:color w:val="000000"/>
                <w:szCs w:val="21"/>
              </w:rPr>
            </w:pPr>
            <w:r>
              <w:rPr>
                <w:rFonts w:hint="eastAsia" w:ascii="宋体" w:hAnsi="宋体"/>
                <w:color w:val="000000"/>
                <w:szCs w:val="21"/>
              </w:rPr>
              <w:t>初始审查</w:t>
            </w:r>
          </w:p>
        </w:tc>
        <w:tc>
          <w:tcPr>
            <w:tcW w:w="2865" w:type="dxa"/>
          </w:tcPr>
          <w:p>
            <w:pPr>
              <w:pStyle w:val="4"/>
              <w:rPr>
                <w:rFonts w:ascii="宋体" w:hAnsi="宋体"/>
                <w:color w:val="000000"/>
                <w:szCs w:val="21"/>
              </w:rPr>
            </w:pPr>
            <w:r>
              <w:rPr>
                <w:rFonts w:hint="eastAsia" w:ascii="宋体" w:hAnsi="宋体"/>
                <w:color w:val="000000"/>
                <w:szCs w:val="21"/>
              </w:rPr>
              <w:t>5000元/项</w:t>
            </w:r>
          </w:p>
        </w:tc>
        <w:tc>
          <w:tcPr>
            <w:tcW w:w="2281" w:type="dxa"/>
          </w:tcPr>
          <w:p>
            <w:pPr>
              <w:pStyle w:val="4"/>
              <w:rPr>
                <w:rFonts w:ascii="宋体" w:hAnsi="宋体"/>
                <w:color w:val="000000"/>
                <w:szCs w:val="21"/>
              </w:rPr>
            </w:pPr>
            <w:r>
              <w:rPr>
                <w:rFonts w:hint="eastAsia" w:ascii="宋体" w:hAnsi="宋体"/>
                <w:color w:val="000000"/>
                <w:szCs w:val="21"/>
              </w:rPr>
              <w:t>5000元/项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6" w:type="dxa"/>
          </w:tcPr>
          <w:p>
            <w:pPr>
              <w:pStyle w:val="4"/>
              <w:rPr>
                <w:rFonts w:ascii="宋体" w:hAnsi="宋体"/>
                <w:color w:val="000000"/>
                <w:szCs w:val="21"/>
              </w:rPr>
            </w:pPr>
            <w:r>
              <w:rPr>
                <w:rFonts w:hint="eastAsia" w:ascii="宋体" w:hAnsi="宋体"/>
                <w:color w:val="000000"/>
                <w:szCs w:val="21"/>
              </w:rPr>
              <w:t>复审</w:t>
            </w:r>
          </w:p>
        </w:tc>
        <w:tc>
          <w:tcPr>
            <w:tcW w:w="2865" w:type="dxa"/>
          </w:tcPr>
          <w:p>
            <w:pPr>
              <w:pStyle w:val="4"/>
              <w:rPr>
                <w:rFonts w:ascii="宋体" w:hAnsi="宋体"/>
                <w:color w:val="000000"/>
                <w:szCs w:val="21"/>
              </w:rPr>
            </w:pPr>
            <w:r>
              <w:rPr>
                <w:rFonts w:hint="eastAsia" w:ascii="宋体" w:hAnsi="宋体"/>
                <w:color w:val="000000"/>
                <w:szCs w:val="21"/>
              </w:rPr>
              <w:t>3000元/项</w:t>
            </w:r>
          </w:p>
        </w:tc>
        <w:tc>
          <w:tcPr>
            <w:tcW w:w="2281" w:type="dxa"/>
          </w:tcPr>
          <w:p>
            <w:pPr>
              <w:pStyle w:val="4"/>
              <w:rPr>
                <w:rFonts w:ascii="宋体" w:hAnsi="宋体"/>
                <w:color w:val="000000"/>
                <w:szCs w:val="21"/>
              </w:rPr>
            </w:pPr>
            <w:r>
              <w:rPr>
                <w:rFonts w:hint="eastAsia" w:ascii="宋体" w:hAnsi="宋体"/>
                <w:color w:val="000000"/>
                <w:szCs w:val="21"/>
              </w:rPr>
              <w:t>暂不收费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6" w:type="dxa"/>
          </w:tcPr>
          <w:p>
            <w:pPr>
              <w:pStyle w:val="4"/>
              <w:rPr>
                <w:rFonts w:ascii="宋体" w:hAnsi="宋体"/>
                <w:color w:val="000000"/>
                <w:szCs w:val="21"/>
              </w:rPr>
            </w:pPr>
            <w:r>
              <w:rPr>
                <w:rFonts w:hint="eastAsia" w:ascii="宋体" w:hAnsi="宋体"/>
                <w:color w:val="000000"/>
                <w:szCs w:val="21"/>
              </w:rPr>
              <w:t>修正方案审查</w:t>
            </w:r>
          </w:p>
        </w:tc>
        <w:tc>
          <w:tcPr>
            <w:tcW w:w="2865" w:type="dxa"/>
          </w:tcPr>
          <w:p>
            <w:pPr>
              <w:pStyle w:val="4"/>
              <w:rPr>
                <w:rFonts w:ascii="宋体" w:hAnsi="宋体"/>
                <w:color w:val="000000"/>
                <w:szCs w:val="21"/>
              </w:rPr>
            </w:pPr>
            <w:r>
              <w:rPr>
                <w:rFonts w:hint="eastAsia" w:ascii="宋体" w:hAnsi="宋体"/>
                <w:color w:val="000000"/>
                <w:szCs w:val="21"/>
              </w:rPr>
              <w:t>3000元/项</w:t>
            </w:r>
          </w:p>
        </w:tc>
        <w:tc>
          <w:tcPr>
            <w:tcW w:w="2281" w:type="dxa"/>
          </w:tcPr>
          <w:p>
            <w:pPr>
              <w:pStyle w:val="4"/>
              <w:rPr>
                <w:rFonts w:ascii="宋体" w:hAnsi="宋体"/>
                <w:color w:val="000000"/>
                <w:szCs w:val="21"/>
              </w:rPr>
            </w:pPr>
            <w:r>
              <w:rPr>
                <w:rFonts w:hint="eastAsia" w:ascii="宋体" w:hAnsi="宋体"/>
                <w:color w:val="000000"/>
                <w:szCs w:val="21"/>
              </w:rPr>
              <w:t>500元/项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6" w:type="dxa"/>
          </w:tcPr>
          <w:p>
            <w:pPr>
              <w:pStyle w:val="4"/>
              <w:rPr>
                <w:rFonts w:ascii="宋体" w:hAnsi="宋体"/>
                <w:color w:val="000000"/>
                <w:szCs w:val="21"/>
              </w:rPr>
            </w:pPr>
            <w:r>
              <w:rPr>
                <w:rFonts w:hint="eastAsia" w:ascii="宋体" w:hAnsi="宋体"/>
                <w:color w:val="000000"/>
                <w:szCs w:val="21"/>
              </w:rPr>
              <w:t>跟踪审查（年度/定期、违背方案、不良事件、暂停/终止、结题等）</w:t>
            </w:r>
          </w:p>
        </w:tc>
        <w:tc>
          <w:tcPr>
            <w:tcW w:w="2865" w:type="dxa"/>
          </w:tcPr>
          <w:p>
            <w:pPr>
              <w:pStyle w:val="4"/>
              <w:rPr>
                <w:rFonts w:ascii="宋体" w:hAnsi="宋体"/>
                <w:color w:val="000000"/>
                <w:szCs w:val="21"/>
              </w:rPr>
            </w:pPr>
            <w:r>
              <w:rPr>
                <w:rFonts w:hint="eastAsia" w:ascii="宋体" w:hAnsi="宋体"/>
                <w:color w:val="000000"/>
                <w:szCs w:val="21"/>
              </w:rPr>
              <w:t>暂不收费</w:t>
            </w:r>
          </w:p>
        </w:tc>
        <w:tc>
          <w:tcPr>
            <w:tcW w:w="2281" w:type="dxa"/>
          </w:tcPr>
          <w:p>
            <w:pPr>
              <w:pStyle w:val="4"/>
              <w:rPr>
                <w:rFonts w:ascii="宋体" w:hAnsi="宋体"/>
                <w:color w:val="000000"/>
                <w:szCs w:val="21"/>
              </w:rPr>
            </w:pPr>
            <w:r>
              <w:rPr>
                <w:rFonts w:hint="eastAsia" w:ascii="宋体" w:hAnsi="宋体"/>
                <w:color w:val="000000"/>
                <w:szCs w:val="21"/>
              </w:rPr>
              <w:t>暂不收费</w:t>
            </w:r>
          </w:p>
        </w:tc>
      </w:tr>
    </w:tbl>
    <w:p>
      <w:pPr>
        <w:pStyle w:val="4"/>
        <w:rPr>
          <w:rFonts w:ascii="宋体" w:hAnsi="宋体"/>
          <w:color w:val="FF0000"/>
          <w:szCs w:val="21"/>
        </w:rPr>
      </w:pPr>
      <w:r>
        <w:rPr>
          <w:rFonts w:hint="eastAsia" w:ascii="宋体" w:hAnsi="宋体"/>
          <w:color w:val="000000"/>
          <w:szCs w:val="21"/>
        </w:rPr>
        <w:t>伦理审查费用应缴纳至医院财务处统一管理。财务账号</w:t>
      </w:r>
      <w:r>
        <w:rPr>
          <w:rFonts w:hint="eastAsia" w:ascii="宋体" w:hAnsi="宋体"/>
          <w:color w:val="FF0000"/>
          <w:szCs w:val="21"/>
        </w:rPr>
        <w:t xml:space="preserve">具体信息- </w:t>
      </w:r>
    </w:p>
    <w:p>
      <w:pPr>
        <w:pStyle w:val="4"/>
        <w:ind w:firstLine="422"/>
        <w:rPr>
          <w:b/>
          <w:color w:val="FF0000"/>
          <w:szCs w:val="21"/>
        </w:rPr>
      </w:pPr>
      <w:r>
        <w:rPr>
          <w:b/>
          <w:color w:val="FF0000"/>
          <w:szCs w:val="21"/>
        </w:rPr>
        <w:t>名称:首都医科大学附属北京天坛医院，账号：</w:t>
      </w:r>
      <w:r>
        <w:rPr>
          <w:rFonts w:ascii="Times New Roman" w:hAnsi="Times New Roman"/>
          <w:b/>
          <w:color w:val="548DD4" w:themeColor="text2" w:themeTint="99"/>
          <w:szCs w:val="21"/>
        </w:rPr>
        <w:t>0109</w:t>
      </w:r>
      <w:r>
        <w:rPr>
          <w:b/>
          <w:color w:val="FF0000"/>
          <w:szCs w:val="21"/>
        </w:rPr>
        <w:t>0359500120105035854，开户银行：北京银行天桥支行</w:t>
      </w:r>
      <w:r>
        <w:rPr>
          <w:rFonts w:hint="eastAsia"/>
          <w:b/>
          <w:color w:val="FF0000"/>
          <w:szCs w:val="21"/>
        </w:rPr>
        <w:t>（请注明为伦理审查费</w:t>
      </w:r>
      <w:r>
        <w:rPr>
          <w:b/>
          <w:color w:val="FF0000"/>
          <w:szCs w:val="21"/>
        </w:rPr>
        <w:t>+</w:t>
      </w:r>
      <w:r>
        <w:rPr>
          <w:rFonts w:hint="eastAsia"/>
          <w:b/>
          <w:color w:val="FF0000"/>
          <w:szCs w:val="21"/>
        </w:rPr>
        <w:t>税号，并注明试验产品）。</w:t>
      </w:r>
    </w:p>
    <w:p>
      <w:pPr>
        <w:ind w:firstLine="420" w:firstLineChars="200"/>
        <w:rPr>
          <w:rFonts w:ascii="宋体" w:hAnsi="宋体"/>
          <w:color w:val="000000"/>
          <w:szCs w:val="21"/>
        </w:rPr>
      </w:pPr>
    </w:p>
    <w:p>
      <w:pPr>
        <w:ind w:firstLine="420" w:firstLineChars="200"/>
        <w:rPr>
          <w:rFonts w:asciiTheme="minorEastAsia" w:hAnsiTheme="minorEastAsia" w:cstheme="minorEastAsia"/>
          <w:sz w:val="28"/>
          <w:szCs w:val="28"/>
        </w:rPr>
      </w:pPr>
      <w:r>
        <w:rPr>
          <w:rFonts w:hint="eastAsia" w:ascii="宋体" w:hAnsi="宋体"/>
          <w:color w:val="000000"/>
          <w:szCs w:val="21"/>
        </w:rPr>
        <w:t>缴费后请关注二维码并填写开发票信息，注意：提供正确的开票信息，如果自动带出后发现信息有误，请务必及时更改成正确的！并在附言备注打款金额！</w:t>
      </w:r>
    </w:p>
    <w:p>
      <w:pPr>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drawing>
          <wp:inline distT="0" distB="0" distL="114300" distR="114300">
            <wp:extent cx="1413510" cy="1817370"/>
            <wp:effectExtent l="0" t="0" r="1524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1413510" cy="1817370"/>
                    </a:xfrm>
                    <a:prstGeom prst="rect">
                      <a:avLst/>
                    </a:prstGeom>
                    <a:noFill/>
                    <a:ln w="9525">
                      <a:noFill/>
                    </a:ln>
                  </pic:spPr>
                </pic:pic>
              </a:graphicData>
            </a:graphic>
          </wp:inline>
        </w:drawing>
      </w:r>
      <w:r>
        <w:rPr>
          <w:rFonts w:hint="eastAsia" w:asciiTheme="minorEastAsia" w:hAnsiTheme="minorEastAsia" w:cstheme="minorEastAsia"/>
          <w:sz w:val="28"/>
          <w:szCs w:val="28"/>
          <w:lang w:val="en-US" w:eastAsia="zh-CN"/>
        </w:rPr>
        <w:t xml:space="preserve">        </w:t>
      </w:r>
      <w:r>
        <w:drawing>
          <wp:inline distT="0" distB="0" distL="114300" distR="114300">
            <wp:extent cx="1426210" cy="1811655"/>
            <wp:effectExtent l="0" t="0" r="2540" b="171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1426210" cy="1811655"/>
                    </a:xfrm>
                    <a:prstGeom prst="rect">
                      <a:avLst/>
                    </a:prstGeom>
                    <a:noFill/>
                    <a:ln w="9525">
                      <a:noFill/>
                    </a:ln>
                  </pic:spPr>
                </pic:pic>
              </a:graphicData>
            </a:graphic>
          </wp:inline>
        </w:drawing>
      </w:r>
    </w:p>
    <w:p>
      <w:pPr>
        <w:pStyle w:val="4"/>
        <w:ind w:firstLineChars="0"/>
        <w:rPr>
          <w:rFonts w:ascii="宋体" w:hAnsi="宋体"/>
          <w:color w:val="000000"/>
          <w:szCs w:val="21"/>
        </w:rPr>
      </w:pPr>
    </w:p>
    <w:p>
      <w:pPr>
        <w:pStyle w:val="4"/>
        <w:ind w:firstLineChars="0"/>
        <w:rPr>
          <w:rFonts w:ascii="宋体" w:hAnsi="宋体"/>
          <w:color w:val="000000"/>
          <w:szCs w:val="21"/>
        </w:rPr>
      </w:pPr>
      <w:r>
        <w:fldChar w:fldCharType="begin"/>
      </w:r>
      <w:r>
        <w:instrText xml:space="preserve"> HYPERLINK "mailto:请务必将附件《交款书》填好后发到ttyyirb@163.com邮箱中，否则无法开具发票。" </w:instrText>
      </w:r>
      <w:r>
        <w:fldChar w:fldCharType="separate"/>
      </w:r>
      <w:r>
        <w:rPr>
          <w:rFonts w:hint="eastAsia" w:ascii="宋体" w:hAnsi="宋体"/>
          <w:color w:val="000000"/>
          <w:szCs w:val="21"/>
        </w:rPr>
        <w:t>请在伦理委员会公邮群中下载《缴款书》，填好后发到ttyyirb@163.com邮箱中，否则无法开具发票。</w:t>
      </w:r>
      <w:r>
        <w:rPr>
          <w:rFonts w:hint="eastAsia" w:ascii="宋体" w:hAnsi="宋体"/>
          <w:color w:val="000000"/>
          <w:szCs w:val="21"/>
        </w:rPr>
        <w:fldChar w:fldCharType="end"/>
      </w:r>
    </w:p>
    <w:p>
      <w:pPr>
        <w:pStyle w:val="4"/>
        <w:ind w:firstLine="422"/>
        <w:rPr>
          <w:b/>
          <w:color w:val="FF0000"/>
          <w:szCs w:val="21"/>
        </w:rPr>
      </w:pPr>
    </w:p>
    <w:p>
      <w:pPr>
        <w:pStyle w:val="4"/>
        <w:ind w:firstLine="0" w:firstLineChars="0"/>
        <w:rPr>
          <w:rFonts w:ascii="宋体" w:hAnsi="宋体"/>
          <w:b/>
          <w:color w:val="000000"/>
          <w:szCs w:val="21"/>
        </w:rPr>
      </w:pPr>
      <w:r>
        <w:rPr>
          <w:rFonts w:hint="eastAsia" w:ascii="宋体" w:hAnsi="宋体"/>
          <w:b/>
          <w:color w:val="000000"/>
          <w:szCs w:val="21"/>
        </w:rPr>
        <w:t>十一、联系方式及接待时间</w:t>
      </w:r>
    </w:p>
    <w:p>
      <w:pPr>
        <w:pStyle w:val="4"/>
        <w:rPr>
          <w:rFonts w:ascii="宋体" w:hAnsi="宋体"/>
          <w:szCs w:val="21"/>
        </w:rPr>
      </w:pPr>
      <w:r>
        <w:rPr>
          <w:rFonts w:hint="eastAsia" w:ascii="宋体" w:hAnsi="宋体"/>
          <w:color w:val="000000"/>
          <w:szCs w:val="21"/>
        </w:rPr>
        <w:t>伦理委员会办公室电话：</w:t>
      </w:r>
      <w:r>
        <w:rPr>
          <w:rFonts w:hint="eastAsia" w:ascii="宋体" w:hAnsi="宋体"/>
          <w:szCs w:val="21"/>
        </w:rPr>
        <w:t>药物、器械临床试验：010-59978555；科研项目咨询：010-59975692。</w:t>
      </w:r>
    </w:p>
    <w:p>
      <w:pPr>
        <w:pStyle w:val="4"/>
        <w:rPr>
          <w:rFonts w:ascii="宋体" w:hAnsi="宋体"/>
          <w:szCs w:val="21"/>
        </w:rPr>
      </w:pPr>
      <w:r>
        <w:rPr>
          <w:rFonts w:hint="eastAsia" w:ascii="宋体" w:hAnsi="宋体"/>
          <w:szCs w:val="21"/>
        </w:rPr>
        <w:t>联系人：白彩珍，任佩娟（药物、器械临床试验），徐灵灵（科研项目咨询）</w:t>
      </w:r>
    </w:p>
    <w:p>
      <w:pPr>
        <w:pStyle w:val="4"/>
        <w:numPr>
          <w:ilvl w:val="0"/>
          <w:numId w:val="11"/>
        </w:numPr>
        <w:rPr>
          <w:rFonts w:ascii="宋体" w:hAnsi="宋体"/>
          <w:color w:val="000000"/>
          <w:szCs w:val="21"/>
        </w:rPr>
      </w:pPr>
      <w:r>
        <w:rPr>
          <w:rFonts w:hint="eastAsia" w:ascii="宋体" w:hAnsi="宋体"/>
          <w:color w:val="000000"/>
          <w:szCs w:val="21"/>
        </w:rPr>
        <w:t xml:space="preserve">mail: </w:t>
      </w:r>
      <w:r>
        <w:fldChar w:fldCharType="begin"/>
      </w:r>
      <w:r>
        <w:instrText xml:space="preserve"> HYPERLINK "mailto:ttyyirb@163.com" </w:instrText>
      </w:r>
      <w:r>
        <w:fldChar w:fldCharType="separate"/>
      </w:r>
      <w:r>
        <w:rPr>
          <w:rStyle w:val="9"/>
          <w:rFonts w:hint="eastAsia" w:ascii="宋体" w:hAnsi="宋体"/>
          <w:szCs w:val="21"/>
        </w:rPr>
        <w:t>ttyyirb@163.com</w:t>
      </w:r>
      <w:r>
        <w:rPr>
          <w:rStyle w:val="9"/>
          <w:rFonts w:hint="eastAsia" w:ascii="宋体" w:hAnsi="宋体"/>
          <w:szCs w:val="21"/>
        </w:rPr>
        <w:fldChar w:fldCharType="end"/>
      </w:r>
      <w:r>
        <w:rPr>
          <w:rFonts w:hint="eastAsia" w:ascii="宋体" w:hAnsi="宋体"/>
          <w:color w:val="000000"/>
          <w:szCs w:val="21"/>
        </w:rPr>
        <w:t>。</w:t>
      </w:r>
    </w:p>
    <w:p>
      <w:pPr>
        <w:pStyle w:val="4"/>
        <w:rPr>
          <w:rFonts w:ascii="Helvetica" w:hAnsi="Helvetica" w:eastAsia="宋体" w:cs="Helvetica"/>
          <w:color w:val="333333"/>
          <w:szCs w:val="21"/>
          <w:shd w:val="clear" w:color="auto" w:fill="FFFFFF"/>
        </w:rPr>
      </w:pPr>
      <w:r>
        <w:rPr>
          <w:rFonts w:hint="eastAsia" w:ascii="宋体" w:hAnsi="宋体"/>
          <w:color w:val="000000"/>
          <w:szCs w:val="21"/>
        </w:rPr>
        <w:t>微信关注</w:t>
      </w:r>
      <w:r>
        <w:rPr>
          <w:rFonts w:ascii="Helvetica" w:hAnsi="Helvetica" w:eastAsia="Helvetica" w:cs="Helvetica"/>
          <w:color w:val="333333"/>
          <w:szCs w:val="21"/>
          <w:shd w:val="clear" w:color="auto" w:fill="FFFFFF"/>
        </w:rPr>
        <w:t>公邮群，能及时收到</w:t>
      </w:r>
      <w:r>
        <w:rPr>
          <w:rFonts w:hint="eastAsia" w:ascii="Helvetica" w:hAnsi="Helvetica" w:eastAsia="宋体" w:cs="Helvetica"/>
          <w:color w:val="333333"/>
          <w:szCs w:val="21"/>
          <w:shd w:val="clear" w:color="auto" w:fill="FFFFFF"/>
        </w:rPr>
        <w:t>通知</w:t>
      </w:r>
      <w:r>
        <w:rPr>
          <w:rFonts w:ascii="Helvetica" w:hAnsi="Helvetica" w:eastAsia="Helvetica" w:cs="Helvetica"/>
          <w:color w:val="333333"/>
          <w:szCs w:val="21"/>
          <w:shd w:val="clear" w:color="auto" w:fill="FFFFFF"/>
        </w:rPr>
        <w:t>，扫描下面的二维码</w:t>
      </w:r>
      <w:r>
        <w:rPr>
          <w:rFonts w:hint="eastAsia" w:ascii="Helvetica" w:hAnsi="Helvetica" w:eastAsia="宋体" w:cs="Helvetica"/>
          <w:color w:val="333333"/>
          <w:szCs w:val="21"/>
          <w:shd w:val="clear" w:color="auto" w:fill="FFFFFF"/>
        </w:rPr>
        <w:t>并关注：</w:t>
      </w:r>
    </w:p>
    <w:p>
      <w:pPr>
        <w:pStyle w:val="4"/>
        <w:rPr>
          <w:rFonts w:ascii="Helvetica" w:hAnsi="Helvetica" w:eastAsia="宋体" w:cs="Helvetica"/>
          <w:color w:val="333333"/>
          <w:szCs w:val="21"/>
          <w:shd w:val="clear" w:color="auto" w:fill="FFFFFF"/>
        </w:rPr>
      </w:pPr>
      <w:r>
        <w:drawing>
          <wp:inline distT="0" distB="0" distL="114300" distR="114300">
            <wp:extent cx="1667510" cy="1538605"/>
            <wp:effectExtent l="0" t="0" r="8890"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1667510" cy="1538605"/>
                    </a:xfrm>
                    <a:prstGeom prst="rect">
                      <a:avLst/>
                    </a:prstGeom>
                    <a:noFill/>
                    <a:ln w="9525">
                      <a:noFill/>
                    </a:ln>
                  </pic:spPr>
                </pic:pic>
              </a:graphicData>
            </a:graphic>
          </wp:inline>
        </w:drawing>
      </w:r>
    </w:p>
    <w:p>
      <w:pPr>
        <w:pStyle w:val="4"/>
        <w:rPr>
          <w:rStyle w:val="9"/>
          <w:rFonts w:ascii="宋体" w:hAnsi="宋体"/>
          <w:szCs w:val="21"/>
        </w:rPr>
      </w:pPr>
      <w:r>
        <w:rPr>
          <w:rFonts w:hint="eastAsia" w:ascii="宋体" w:hAnsi="宋体"/>
          <w:color w:val="000000"/>
          <w:szCs w:val="21"/>
        </w:rPr>
        <w:t>网上下载相关文件：</w:t>
      </w:r>
      <w:r>
        <w:fldChar w:fldCharType="begin"/>
      </w:r>
      <w:r>
        <w:instrText xml:space="preserve"> HYPERLINK "http://www.bjtth.org/News/MedicalEthics/" </w:instrText>
      </w:r>
      <w:r>
        <w:fldChar w:fldCharType="separate"/>
      </w:r>
      <w:r>
        <w:rPr>
          <w:rStyle w:val="9"/>
          <w:rFonts w:ascii="宋体" w:hAnsi="宋体"/>
          <w:szCs w:val="21"/>
        </w:rPr>
        <w:t>http://www.bjtth.org/News/MedicalEthics/</w:t>
      </w:r>
      <w:r>
        <w:rPr>
          <w:rStyle w:val="9"/>
          <w:rFonts w:ascii="宋体" w:hAnsi="宋体"/>
          <w:szCs w:val="21"/>
        </w:rPr>
        <w:fldChar w:fldCharType="end"/>
      </w:r>
    </w:p>
    <w:p>
      <w:pPr>
        <w:pStyle w:val="4"/>
        <w:rPr>
          <w:rStyle w:val="9"/>
          <w:rFonts w:ascii="宋体" w:hAnsi="宋体"/>
          <w:color w:val="FF0000"/>
          <w:szCs w:val="21"/>
        </w:rPr>
      </w:pPr>
      <w:r>
        <w:rPr>
          <w:rStyle w:val="9"/>
          <w:rFonts w:hint="eastAsia" w:ascii="宋体" w:hAnsi="宋体"/>
          <w:color w:val="FF0000"/>
          <w:szCs w:val="21"/>
        </w:rPr>
        <w:t>接待时间：每周三、四下午1:30-5:00</w:t>
      </w:r>
    </w:p>
    <w:p>
      <w:pPr>
        <w:pStyle w:val="4"/>
        <w:ind w:firstLine="0" w:firstLineChars="0"/>
        <w:rPr>
          <w:rFonts w:ascii="宋体" w:hAnsi="宋体"/>
          <w:color w:val="000000"/>
          <w:szCs w:val="21"/>
        </w:rPr>
      </w:pPr>
    </w:p>
    <w:p>
      <w:pPr>
        <w:pStyle w:val="4"/>
        <w:ind w:firstLine="0" w:firstLineChars="0"/>
        <w:rPr>
          <w:rFonts w:ascii="宋体" w:hAnsi="宋体"/>
          <w:b/>
          <w:color w:val="000000"/>
          <w:szCs w:val="21"/>
        </w:rPr>
      </w:pPr>
      <w:r>
        <w:rPr>
          <w:rFonts w:hint="eastAsia" w:ascii="宋体" w:hAnsi="宋体"/>
          <w:b/>
          <w:color w:val="000000"/>
          <w:szCs w:val="21"/>
        </w:rPr>
        <w:t>十二、注意事项</w:t>
      </w:r>
    </w:p>
    <w:p>
      <w:pPr>
        <w:pStyle w:val="4"/>
        <w:numPr>
          <w:ilvl w:val="0"/>
          <w:numId w:val="12"/>
        </w:numPr>
        <w:ind w:firstLineChars="0"/>
        <w:rPr>
          <w:rFonts w:ascii="宋体" w:hAnsi="宋体"/>
          <w:b/>
          <w:color w:val="FF0000"/>
          <w:szCs w:val="21"/>
        </w:rPr>
      </w:pPr>
      <w:r>
        <w:rPr>
          <w:rFonts w:hint="eastAsia" w:ascii="宋体" w:hAnsi="宋体"/>
          <w:color w:val="000000"/>
          <w:szCs w:val="21"/>
        </w:rPr>
        <w:t>研究方案如果有中英文版本，</w:t>
      </w:r>
      <w:r>
        <w:rPr>
          <w:rFonts w:hint="eastAsia" w:ascii="宋体" w:hAnsi="宋体"/>
          <w:b/>
          <w:color w:val="FF0000"/>
          <w:szCs w:val="21"/>
        </w:rPr>
        <w:t>一定要注明以中文版本为主。本机构不受理以英文版本为主的方案。研究者手册也需要递交中文版。</w:t>
      </w:r>
    </w:p>
    <w:p>
      <w:pPr>
        <w:pStyle w:val="4"/>
        <w:numPr>
          <w:ilvl w:val="0"/>
          <w:numId w:val="12"/>
        </w:numPr>
        <w:ind w:firstLineChars="0"/>
        <w:rPr>
          <w:rFonts w:ascii="宋体" w:hAnsi="宋体"/>
          <w:color w:val="000000"/>
          <w:szCs w:val="21"/>
        </w:rPr>
      </w:pPr>
      <w:r>
        <w:rPr>
          <w:rFonts w:hint="eastAsia" w:ascii="宋体" w:hAnsi="宋体"/>
          <w:b/>
          <w:color w:val="FF0000"/>
          <w:szCs w:val="21"/>
        </w:rPr>
        <w:t>研究方案与知情同意书只注明本版本的版本号与日期，不要添加既往版本的版本号与日期。</w:t>
      </w:r>
    </w:p>
    <w:p>
      <w:pPr>
        <w:pStyle w:val="16"/>
        <w:numPr>
          <w:ilvl w:val="0"/>
          <w:numId w:val="12"/>
        </w:numPr>
        <w:ind w:firstLineChars="0"/>
        <w:rPr>
          <w:szCs w:val="21"/>
        </w:rPr>
      </w:pPr>
      <w:r>
        <w:rPr>
          <w:rFonts w:hint="eastAsia"/>
          <w:szCs w:val="21"/>
        </w:rPr>
        <w:t>避免版本号与日期混乱，如首页题目下有版本编号：xxx、出版历史：2.0,版本；1.0版本…；脚注又出现版本号：中文版3.0，…。</w:t>
      </w:r>
    </w:p>
    <w:p>
      <w:pPr>
        <w:pStyle w:val="4"/>
        <w:numPr>
          <w:ilvl w:val="0"/>
          <w:numId w:val="12"/>
        </w:numPr>
        <w:ind w:firstLineChars="0"/>
        <w:rPr>
          <w:rFonts w:ascii="宋体" w:hAnsi="宋体"/>
          <w:color w:val="000000"/>
          <w:szCs w:val="21"/>
        </w:rPr>
      </w:pPr>
      <w:r>
        <w:rPr>
          <w:rFonts w:hint="eastAsia" w:ascii="宋体" w:hAnsi="宋体"/>
          <w:b/>
          <w:color w:val="FF0000"/>
          <w:szCs w:val="21"/>
        </w:rPr>
        <w:t>知情同意书</w:t>
      </w:r>
      <w:r>
        <w:rPr>
          <w:rFonts w:hint="eastAsia" w:ascii="宋体" w:hAnsi="宋体"/>
          <w:color w:val="000000"/>
          <w:szCs w:val="21"/>
        </w:rPr>
        <w:t>必需使用本机构网上知情同意书模板格式书写，内容参照网上知情同意书模板与审查重点参考。</w:t>
      </w:r>
    </w:p>
    <w:p>
      <w:pPr>
        <w:pStyle w:val="4"/>
        <w:ind w:left="420" w:firstLine="0" w:firstLineChars="0"/>
        <w:rPr>
          <w:rFonts w:ascii="宋体" w:hAnsi="宋体"/>
          <w:color w:val="000000"/>
          <w:szCs w:val="21"/>
        </w:rPr>
      </w:pPr>
    </w:p>
    <w:p>
      <w:pPr>
        <w:rPr>
          <w:b/>
        </w:rPr>
      </w:pPr>
      <w:r>
        <w:rPr>
          <w:rFonts w:hint="eastAsia"/>
          <w:b/>
        </w:rPr>
        <w:t>十三、附件</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rPr>
      <w:t>首都医科大学附属北京天坛医院                                         伦理审查申请指南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C135FC"/>
    <w:multiLevelType w:val="singleLevel"/>
    <w:tmpl w:val="DDC135FC"/>
    <w:lvl w:ilvl="0" w:tentative="0">
      <w:start w:val="5"/>
      <w:numFmt w:val="upperLetter"/>
      <w:suff w:val="nothing"/>
      <w:lvlText w:val="%1-"/>
      <w:lvlJc w:val="left"/>
    </w:lvl>
  </w:abstractNum>
  <w:abstractNum w:abstractNumId="1">
    <w:nsid w:val="0000000A"/>
    <w:multiLevelType w:val="multilevel"/>
    <w:tmpl w:val="0000000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0000000B"/>
    <w:multiLevelType w:val="multilevel"/>
    <w:tmpl w:val="0000000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22"/>
        </w:tabs>
        <w:ind w:left="22" w:hanging="420"/>
      </w:pPr>
      <w:rPr>
        <w:rFonts w:hint="default" w:ascii="Wingdings" w:hAnsi="Wingdings" w:eastAsia="黑体"/>
        <w:sz w:val="21"/>
      </w:rPr>
    </w:lvl>
    <w:lvl w:ilvl="2" w:tentative="0">
      <w:start w:val="1"/>
      <w:numFmt w:val="bullet"/>
      <w:lvlText w:val=""/>
      <w:lvlJc w:val="left"/>
      <w:pPr>
        <w:tabs>
          <w:tab w:val="left" w:pos="840"/>
        </w:tabs>
        <w:ind w:left="840" w:hanging="420"/>
      </w:pPr>
      <w:rPr>
        <w:rFonts w:hint="default" w:ascii="Wingdings" w:hAnsi="Wingdings"/>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bullet"/>
      <w:lvlText w:val=""/>
      <w:lvlJc w:val="left"/>
      <w:pPr>
        <w:tabs>
          <w:tab w:val="left" w:pos="1680"/>
        </w:tabs>
        <w:ind w:left="1680" w:hanging="420"/>
      </w:pPr>
      <w:rPr>
        <w:rFonts w:hint="default" w:ascii="Wingdings" w:hAnsi="Wingdings"/>
      </w:rPr>
    </w:lvl>
    <w:lvl w:ilvl="5" w:tentative="0">
      <w:start w:val="1"/>
      <w:numFmt w:val="bullet"/>
      <w:lvlText w:val=""/>
      <w:lvlJc w:val="left"/>
      <w:pPr>
        <w:tabs>
          <w:tab w:val="left" w:pos="2100"/>
        </w:tabs>
        <w:ind w:left="2100" w:hanging="420"/>
      </w:pPr>
      <w:rPr>
        <w:rFonts w:hint="default" w:ascii="Wingdings" w:hAnsi="Wingdings"/>
      </w:rPr>
    </w:lvl>
    <w:lvl w:ilvl="6" w:tentative="0">
      <w:start w:val="1"/>
      <w:numFmt w:val="bullet"/>
      <w:lvlText w:val=""/>
      <w:lvlJc w:val="left"/>
      <w:pPr>
        <w:tabs>
          <w:tab w:val="left" w:pos="2520"/>
        </w:tabs>
        <w:ind w:left="2520" w:hanging="420"/>
      </w:pPr>
      <w:rPr>
        <w:rFonts w:hint="default" w:ascii="Wingdings" w:hAnsi="Wingdings"/>
      </w:rPr>
    </w:lvl>
    <w:lvl w:ilvl="7" w:tentative="0">
      <w:start w:val="1"/>
      <w:numFmt w:val="bullet"/>
      <w:lvlText w:val=""/>
      <w:lvlJc w:val="left"/>
      <w:pPr>
        <w:tabs>
          <w:tab w:val="left" w:pos="2940"/>
        </w:tabs>
        <w:ind w:left="2940" w:hanging="420"/>
      </w:pPr>
      <w:rPr>
        <w:rFonts w:hint="default" w:ascii="Wingdings" w:hAnsi="Wingdings"/>
      </w:rPr>
    </w:lvl>
    <w:lvl w:ilvl="8" w:tentative="0">
      <w:start w:val="1"/>
      <w:numFmt w:val="bullet"/>
      <w:lvlText w:val=""/>
      <w:lvlJc w:val="left"/>
      <w:pPr>
        <w:tabs>
          <w:tab w:val="left" w:pos="3360"/>
        </w:tabs>
        <w:ind w:left="3360" w:hanging="420"/>
      </w:pPr>
      <w:rPr>
        <w:rFonts w:hint="default" w:ascii="Wingdings" w:hAnsi="Wingdings"/>
      </w:rPr>
    </w:lvl>
  </w:abstractNum>
  <w:abstractNum w:abstractNumId="3">
    <w:nsid w:val="0000000C"/>
    <w:multiLevelType w:val="multilevel"/>
    <w:tmpl w:val="0000000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22"/>
        </w:tabs>
        <w:ind w:left="22" w:hanging="420"/>
      </w:pPr>
      <w:rPr>
        <w:rFonts w:hint="default" w:ascii="Wingdings" w:hAnsi="Wingdings" w:eastAsia="黑体"/>
        <w:sz w:val="21"/>
      </w:rPr>
    </w:lvl>
    <w:lvl w:ilvl="2" w:tentative="0">
      <w:start w:val="1"/>
      <w:numFmt w:val="bullet"/>
      <w:lvlText w:val=""/>
      <w:lvlJc w:val="left"/>
      <w:pPr>
        <w:tabs>
          <w:tab w:val="left" w:pos="840"/>
        </w:tabs>
        <w:ind w:left="840" w:hanging="420"/>
      </w:pPr>
      <w:rPr>
        <w:rFonts w:hint="default" w:ascii="Wingdings" w:hAnsi="Wingdings"/>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bullet"/>
      <w:lvlText w:val=""/>
      <w:lvlJc w:val="left"/>
      <w:pPr>
        <w:tabs>
          <w:tab w:val="left" w:pos="1680"/>
        </w:tabs>
        <w:ind w:left="1680" w:hanging="420"/>
      </w:pPr>
      <w:rPr>
        <w:rFonts w:hint="default" w:ascii="Wingdings" w:hAnsi="Wingdings"/>
      </w:rPr>
    </w:lvl>
    <w:lvl w:ilvl="5" w:tentative="0">
      <w:start w:val="1"/>
      <w:numFmt w:val="bullet"/>
      <w:lvlText w:val=""/>
      <w:lvlJc w:val="left"/>
      <w:pPr>
        <w:tabs>
          <w:tab w:val="left" w:pos="2100"/>
        </w:tabs>
        <w:ind w:left="2100" w:hanging="420"/>
      </w:pPr>
      <w:rPr>
        <w:rFonts w:hint="default" w:ascii="Wingdings" w:hAnsi="Wingdings"/>
      </w:rPr>
    </w:lvl>
    <w:lvl w:ilvl="6" w:tentative="0">
      <w:start w:val="1"/>
      <w:numFmt w:val="bullet"/>
      <w:lvlText w:val=""/>
      <w:lvlJc w:val="left"/>
      <w:pPr>
        <w:tabs>
          <w:tab w:val="left" w:pos="2520"/>
        </w:tabs>
        <w:ind w:left="2520" w:hanging="420"/>
      </w:pPr>
      <w:rPr>
        <w:rFonts w:hint="default" w:ascii="Wingdings" w:hAnsi="Wingdings"/>
      </w:rPr>
    </w:lvl>
    <w:lvl w:ilvl="7" w:tentative="0">
      <w:start w:val="1"/>
      <w:numFmt w:val="bullet"/>
      <w:lvlText w:val=""/>
      <w:lvlJc w:val="left"/>
      <w:pPr>
        <w:tabs>
          <w:tab w:val="left" w:pos="2940"/>
        </w:tabs>
        <w:ind w:left="2940" w:hanging="420"/>
      </w:pPr>
      <w:rPr>
        <w:rFonts w:hint="default" w:ascii="Wingdings" w:hAnsi="Wingdings"/>
      </w:rPr>
    </w:lvl>
    <w:lvl w:ilvl="8" w:tentative="0">
      <w:start w:val="1"/>
      <w:numFmt w:val="bullet"/>
      <w:lvlText w:val=""/>
      <w:lvlJc w:val="left"/>
      <w:pPr>
        <w:tabs>
          <w:tab w:val="left" w:pos="3360"/>
        </w:tabs>
        <w:ind w:left="3360" w:hanging="420"/>
      </w:pPr>
      <w:rPr>
        <w:rFonts w:hint="default" w:ascii="Wingdings" w:hAnsi="Wingdings"/>
      </w:rPr>
    </w:lvl>
  </w:abstractNum>
  <w:abstractNum w:abstractNumId="4">
    <w:nsid w:val="0000000E"/>
    <w:multiLevelType w:val="multilevel"/>
    <w:tmpl w:val="0000000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22"/>
        </w:tabs>
        <w:ind w:left="22" w:hanging="420"/>
      </w:pPr>
      <w:rPr>
        <w:rFonts w:hint="default" w:ascii="Wingdings" w:hAnsi="Wingdings" w:eastAsia="黑体"/>
        <w:sz w:val="21"/>
      </w:rPr>
    </w:lvl>
    <w:lvl w:ilvl="2" w:tentative="0">
      <w:start w:val="1"/>
      <w:numFmt w:val="bullet"/>
      <w:lvlText w:val=""/>
      <w:lvlJc w:val="left"/>
      <w:pPr>
        <w:tabs>
          <w:tab w:val="left" w:pos="840"/>
        </w:tabs>
        <w:ind w:left="840" w:hanging="420"/>
      </w:pPr>
      <w:rPr>
        <w:rFonts w:hint="default" w:ascii="Wingdings" w:hAnsi="Wingdings"/>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bullet"/>
      <w:lvlText w:val=""/>
      <w:lvlJc w:val="left"/>
      <w:pPr>
        <w:tabs>
          <w:tab w:val="left" w:pos="1680"/>
        </w:tabs>
        <w:ind w:left="1680" w:hanging="420"/>
      </w:pPr>
      <w:rPr>
        <w:rFonts w:hint="default" w:ascii="Wingdings" w:hAnsi="Wingdings"/>
      </w:rPr>
    </w:lvl>
    <w:lvl w:ilvl="5" w:tentative="0">
      <w:start w:val="1"/>
      <w:numFmt w:val="bullet"/>
      <w:lvlText w:val=""/>
      <w:lvlJc w:val="left"/>
      <w:pPr>
        <w:tabs>
          <w:tab w:val="left" w:pos="2100"/>
        </w:tabs>
        <w:ind w:left="2100" w:hanging="420"/>
      </w:pPr>
      <w:rPr>
        <w:rFonts w:hint="default" w:ascii="Wingdings" w:hAnsi="Wingdings"/>
      </w:rPr>
    </w:lvl>
    <w:lvl w:ilvl="6" w:tentative="0">
      <w:start w:val="1"/>
      <w:numFmt w:val="bullet"/>
      <w:lvlText w:val=""/>
      <w:lvlJc w:val="left"/>
      <w:pPr>
        <w:tabs>
          <w:tab w:val="left" w:pos="2520"/>
        </w:tabs>
        <w:ind w:left="2520" w:hanging="420"/>
      </w:pPr>
      <w:rPr>
        <w:rFonts w:hint="default" w:ascii="Wingdings" w:hAnsi="Wingdings"/>
      </w:rPr>
    </w:lvl>
    <w:lvl w:ilvl="7" w:tentative="0">
      <w:start w:val="1"/>
      <w:numFmt w:val="bullet"/>
      <w:lvlText w:val=""/>
      <w:lvlJc w:val="left"/>
      <w:pPr>
        <w:tabs>
          <w:tab w:val="left" w:pos="2940"/>
        </w:tabs>
        <w:ind w:left="2940" w:hanging="420"/>
      </w:pPr>
      <w:rPr>
        <w:rFonts w:hint="default" w:ascii="Wingdings" w:hAnsi="Wingdings"/>
      </w:rPr>
    </w:lvl>
    <w:lvl w:ilvl="8" w:tentative="0">
      <w:start w:val="1"/>
      <w:numFmt w:val="bullet"/>
      <w:lvlText w:val=""/>
      <w:lvlJc w:val="left"/>
      <w:pPr>
        <w:tabs>
          <w:tab w:val="left" w:pos="3360"/>
        </w:tabs>
        <w:ind w:left="3360" w:hanging="420"/>
      </w:pPr>
      <w:rPr>
        <w:rFonts w:hint="default" w:ascii="Wingdings" w:hAnsi="Wingdings"/>
      </w:rPr>
    </w:lvl>
  </w:abstractNum>
  <w:abstractNum w:abstractNumId="5">
    <w:nsid w:val="0000000F"/>
    <w:multiLevelType w:val="multilevel"/>
    <w:tmpl w:val="0000000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22"/>
        </w:tabs>
        <w:ind w:left="22" w:hanging="420"/>
      </w:pPr>
      <w:rPr>
        <w:rFonts w:hint="default" w:ascii="Wingdings" w:hAnsi="Wingdings"/>
        <w:sz w:val="21"/>
      </w:rPr>
    </w:lvl>
    <w:lvl w:ilvl="2" w:tentative="0">
      <w:start w:val="1"/>
      <w:numFmt w:val="bullet"/>
      <w:lvlText w:val=""/>
      <w:lvlJc w:val="left"/>
      <w:pPr>
        <w:tabs>
          <w:tab w:val="left" w:pos="840"/>
        </w:tabs>
        <w:ind w:left="840" w:hanging="420"/>
      </w:pPr>
      <w:rPr>
        <w:rFonts w:hint="default" w:ascii="Wingdings" w:hAnsi="Wingdings"/>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bullet"/>
      <w:lvlText w:val=""/>
      <w:lvlJc w:val="left"/>
      <w:pPr>
        <w:tabs>
          <w:tab w:val="left" w:pos="1680"/>
        </w:tabs>
        <w:ind w:left="1680" w:hanging="420"/>
      </w:pPr>
      <w:rPr>
        <w:rFonts w:hint="default" w:ascii="Wingdings" w:hAnsi="Wingdings"/>
      </w:rPr>
    </w:lvl>
    <w:lvl w:ilvl="5" w:tentative="0">
      <w:start w:val="1"/>
      <w:numFmt w:val="bullet"/>
      <w:lvlText w:val=""/>
      <w:lvlJc w:val="left"/>
      <w:pPr>
        <w:tabs>
          <w:tab w:val="left" w:pos="2100"/>
        </w:tabs>
        <w:ind w:left="2100" w:hanging="420"/>
      </w:pPr>
      <w:rPr>
        <w:rFonts w:hint="default" w:ascii="Wingdings" w:hAnsi="Wingdings"/>
      </w:rPr>
    </w:lvl>
    <w:lvl w:ilvl="6" w:tentative="0">
      <w:start w:val="1"/>
      <w:numFmt w:val="bullet"/>
      <w:lvlText w:val=""/>
      <w:lvlJc w:val="left"/>
      <w:pPr>
        <w:tabs>
          <w:tab w:val="left" w:pos="2520"/>
        </w:tabs>
        <w:ind w:left="2520" w:hanging="420"/>
      </w:pPr>
      <w:rPr>
        <w:rFonts w:hint="default" w:ascii="Wingdings" w:hAnsi="Wingdings"/>
      </w:rPr>
    </w:lvl>
    <w:lvl w:ilvl="7" w:tentative="0">
      <w:start w:val="1"/>
      <w:numFmt w:val="bullet"/>
      <w:lvlText w:val=""/>
      <w:lvlJc w:val="left"/>
      <w:pPr>
        <w:tabs>
          <w:tab w:val="left" w:pos="2940"/>
        </w:tabs>
        <w:ind w:left="2940" w:hanging="420"/>
      </w:pPr>
      <w:rPr>
        <w:rFonts w:hint="default" w:ascii="Wingdings" w:hAnsi="Wingdings"/>
      </w:rPr>
    </w:lvl>
    <w:lvl w:ilvl="8" w:tentative="0">
      <w:start w:val="1"/>
      <w:numFmt w:val="bullet"/>
      <w:lvlText w:val=""/>
      <w:lvlJc w:val="left"/>
      <w:pPr>
        <w:tabs>
          <w:tab w:val="left" w:pos="3360"/>
        </w:tabs>
        <w:ind w:left="3360" w:hanging="420"/>
      </w:pPr>
      <w:rPr>
        <w:rFonts w:hint="default" w:ascii="Wingdings" w:hAnsi="Wingdings"/>
      </w:rPr>
    </w:lvl>
  </w:abstractNum>
  <w:abstractNum w:abstractNumId="6">
    <w:nsid w:val="00000036"/>
    <w:multiLevelType w:val="multilevel"/>
    <w:tmpl w:val="0000003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140"/>
        </w:tabs>
        <w:ind w:left="114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1BE30785"/>
    <w:multiLevelType w:val="multilevel"/>
    <w:tmpl w:val="1BE307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35750855"/>
    <w:multiLevelType w:val="multilevel"/>
    <w:tmpl w:val="35750855"/>
    <w:lvl w:ilvl="0" w:tentative="0">
      <w:start w:val="1"/>
      <w:numFmt w:val="bullet"/>
      <w:lvlText w:val=""/>
      <w:lvlJc w:val="left"/>
      <w:pPr>
        <w:ind w:left="855" w:hanging="420"/>
      </w:pPr>
      <w:rPr>
        <w:rFonts w:hint="default" w:ascii="Wingdings" w:hAnsi="Wingdings"/>
      </w:rPr>
    </w:lvl>
    <w:lvl w:ilvl="1" w:tentative="0">
      <w:start w:val="1"/>
      <w:numFmt w:val="bullet"/>
      <w:lvlText w:val=""/>
      <w:lvlJc w:val="left"/>
      <w:pPr>
        <w:ind w:left="1275" w:hanging="420"/>
      </w:pPr>
      <w:rPr>
        <w:rFonts w:hint="default" w:ascii="Wingdings" w:hAnsi="Wingdings"/>
      </w:rPr>
    </w:lvl>
    <w:lvl w:ilvl="2" w:tentative="0">
      <w:start w:val="1"/>
      <w:numFmt w:val="bullet"/>
      <w:lvlText w:val=""/>
      <w:lvlJc w:val="left"/>
      <w:pPr>
        <w:ind w:left="1695" w:hanging="420"/>
      </w:pPr>
      <w:rPr>
        <w:rFonts w:hint="default" w:ascii="Wingdings" w:hAnsi="Wingdings"/>
      </w:rPr>
    </w:lvl>
    <w:lvl w:ilvl="3" w:tentative="0">
      <w:start w:val="1"/>
      <w:numFmt w:val="bullet"/>
      <w:lvlText w:val=""/>
      <w:lvlJc w:val="left"/>
      <w:pPr>
        <w:ind w:left="2115" w:hanging="420"/>
      </w:pPr>
      <w:rPr>
        <w:rFonts w:hint="default" w:ascii="Wingdings" w:hAnsi="Wingdings"/>
      </w:rPr>
    </w:lvl>
    <w:lvl w:ilvl="4" w:tentative="0">
      <w:start w:val="1"/>
      <w:numFmt w:val="bullet"/>
      <w:lvlText w:val=""/>
      <w:lvlJc w:val="left"/>
      <w:pPr>
        <w:ind w:left="2535" w:hanging="420"/>
      </w:pPr>
      <w:rPr>
        <w:rFonts w:hint="default" w:ascii="Wingdings" w:hAnsi="Wingdings"/>
      </w:rPr>
    </w:lvl>
    <w:lvl w:ilvl="5" w:tentative="0">
      <w:start w:val="1"/>
      <w:numFmt w:val="bullet"/>
      <w:lvlText w:val=""/>
      <w:lvlJc w:val="left"/>
      <w:pPr>
        <w:ind w:left="2955" w:hanging="420"/>
      </w:pPr>
      <w:rPr>
        <w:rFonts w:hint="default" w:ascii="Wingdings" w:hAnsi="Wingdings"/>
      </w:rPr>
    </w:lvl>
    <w:lvl w:ilvl="6" w:tentative="0">
      <w:start w:val="1"/>
      <w:numFmt w:val="bullet"/>
      <w:lvlText w:val=""/>
      <w:lvlJc w:val="left"/>
      <w:pPr>
        <w:ind w:left="3375" w:hanging="420"/>
      </w:pPr>
      <w:rPr>
        <w:rFonts w:hint="default" w:ascii="Wingdings" w:hAnsi="Wingdings"/>
      </w:rPr>
    </w:lvl>
    <w:lvl w:ilvl="7" w:tentative="0">
      <w:start w:val="1"/>
      <w:numFmt w:val="bullet"/>
      <w:lvlText w:val=""/>
      <w:lvlJc w:val="left"/>
      <w:pPr>
        <w:ind w:left="3795" w:hanging="420"/>
      </w:pPr>
      <w:rPr>
        <w:rFonts w:hint="default" w:ascii="Wingdings" w:hAnsi="Wingdings"/>
      </w:rPr>
    </w:lvl>
    <w:lvl w:ilvl="8" w:tentative="0">
      <w:start w:val="1"/>
      <w:numFmt w:val="bullet"/>
      <w:lvlText w:val=""/>
      <w:lvlJc w:val="left"/>
      <w:pPr>
        <w:ind w:left="4215" w:hanging="420"/>
      </w:pPr>
      <w:rPr>
        <w:rFonts w:hint="default" w:ascii="Wingdings" w:hAnsi="Wingdings"/>
      </w:rPr>
    </w:lvl>
  </w:abstractNum>
  <w:abstractNum w:abstractNumId="9">
    <w:nsid w:val="425E5412"/>
    <w:multiLevelType w:val="multilevel"/>
    <w:tmpl w:val="425E541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585CC86A"/>
    <w:multiLevelType w:val="singleLevel"/>
    <w:tmpl w:val="585CC86A"/>
    <w:lvl w:ilvl="0" w:tentative="0">
      <w:start w:val="1"/>
      <w:numFmt w:val="bullet"/>
      <w:lvlText w:val=""/>
      <w:lvlJc w:val="left"/>
      <w:pPr>
        <w:ind w:left="420" w:hanging="420"/>
      </w:pPr>
      <w:rPr>
        <w:rFonts w:hint="default" w:ascii="Wingdings" w:hAnsi="Wingdings"/>
      </w:rPr>
    </w:lvl>
  </w:abstractNum>
  <w:abstractNum w:abstractNumId="11">
    <w:nsid w:val="6DEB2890"/>
    <w:multiLevelType w:val="multilevel"/>
    <w:tmpl w:val="6DEB2890"/>
    <w:lvl w:ilvl="0" w:tentative="0">
      <w:start w:val="1"/>
      <w:numFmt w:val="bullet"/>
      <w:lvlText w:val=""/>
      <w:lvlJc w:val="left"/>
      <w:pPr>
        <w:ind w:left="443" w:hanging="420"/>
      </w:pPr>
      <w:rPr>
        <w:rFonts w:hint="default" w:ascii="Wingdings" w:hAnsi="Wingdings"/>
      </w:rPr>
    </w:lvl>
    <w:lvl w:ilvl="1" w:tentative="0">
      <w:start w:val="1"/>
      <w:numFmt w:val="bullet"/>
      <w:lvlText w:val=""/>
      <w:lvlJc w:val="left"/>
      <w:pPr>
        <w:ind w:left="863" w:hanging="420"/>
      </w:pPr>
      <w:rPr>
        <w:rFonts w:hint="default" w:ascii="Wingdings" w:hAnsi="Wingdings"/>
      </w:rPr>
    </w:lvl>
    <w:lvl w:ilvl="2" w:tentative="0">
      <w:start w:val="1"/>
      <w:numFmt w:val="bullet"/>
      <w:lvlText w:val=""/>
      <w:lvlJc w:val="left"/>
      <w:pPr>
        <w:ind w:left="1283" w:hanging="420"/>
      </w:pPr>
      <w:rPr>
        <w:rFonts w:hint="default" w:ascii="Wingdings" w:hAnsi="Wingdings"/>
      </w:rPr>
    </w:lvl>
    <w:lvl w:ilvl="3" w:tentative="0">
      <w:start w:val="1"/>
      <w:numFmt w:val="bullet"/>
      <w:lvlText w:val=""/>
      <w:lvlJc w:val="left"/>
      <w:pPr>
        <w:ind w:left="1703" w:hanging="420"/>
      </w:pPr>
      <w:rPr>
        <w:rFonts w:hint="default" w:ascii="Wingdings" w:hAnsi="Wingdings"/>
      </w:rPr>
    </w:lvl>
    <w:lvl w:ilvl="4" w:tentative="0">
      <w:start w:val="1"/>
      <w:numFmt w:val="bullet"/>
      <w:lvlText w:val=""/>
      <w:lvlJc w:val="left"/>
      <w:pPr>
        <w:ind w:left="2123" w:hanging="420"/>
      </w:pPr>
      <w:rPr>
        <w:rFonts w:hint="default" w:ascii="Wingdings" w:hAnsi="Wingdings"/>
      </w:rPr>
    </w:lvl>
    <w:lvl w:ilvl="5" w:tentative="0">
      <w:start w:val="1"/>
      <w:numFmt w:val="bullet"/>
      <w:lvlText w:val=""/>
      <w:lvlJc w:val="left"/>
      <w:pPr>
        <w:ind w:left="2543" w:hanging="420"/>
      </w:pPr>
      <w:rPr>
        <w:rFonts w:hint="default" w:ascii="Wingdings" w:hAnsi="Wingdings"/>
      </w:rPr>
    </w:lvl>
    <w:lvl w:ilvl="6" w:tentative="0">
      <w:start w:val="1"/>
      <w:numFmt w:val="bullet"/>
      <w:lvlText w:val=""/>
      <w:lvlJc w:val="left"/>
      <w:pPr>
        <w:ind w:left="2963" w:hanging="420"/>
      </w:pPr>
      <w:rPr>
        <w:rFonts w:hint="default" w:ascii="Wingdings" w:hAnsi="Wingdings"/>
      </w:rPr>
    </w:lvl>
    <w:lvl w:ilvl="7" w:tentative="0">
      <w:start w:val="1"/>
      <w:numFmt w:val="bullet"/>
      <w:lvlText w:val=""/>
      <w:lvlJc w:val="left"/>
      <w:pPr>
        <w:ind w:left="3383" w:hanging="420"/>
      </w:pPr>
      <w:rPr>
        <w:rFonts w:hint="default" w:ascii="Wingdings" w:hAnsi="Wingdings"/>
      </w:rPr>
    </w:lvl>
    <w:lvl w:ilvl="8" w:tentative="0">
      <w:start w:val="1"/>
      <w:numFmt w:val="bullet"/>
      <w:lvlText w:val=""/>
      <w:lvlJc w:val="left"/>
      <w:pPr>
        <w:ind w:left="3803" w:hanging="420"/>
      </w:pPr>
      <w:rPr>
        <w:rFonts w:hint="default" w:ascii="Wingdings" w:hAnsi="Wingdings"/>
      </w:rPr>
    </w:lvl>
  </w:abstractNum>
  <w:num w:numId="1">
    <w:abstractNumId w:val="4"/>
  </w:num>
  <w:num w:numId="2">
    <w:abstractNumId w:val="2"/>
  </w:num>
  <w:num w:numId="3">
    <w:abstractNumId w:val="6"/>
  </w:num>
  <w:num w:numId="4">
    <w:abstractNumId w:val="10"/>
  </w:num>
  <w:num w:numId="5">
    <w:abstractNumId w:val="7"/>
  </w:num>
  <w:num w:numId="6">
    <w:abstractNumId w:val="11"/>
  </w:num>
  <w:num w:numId="7">
    <w:abstractNumId w:val="5"/>
  </w:num>
  <w:num w:numId="8">
    <w:abstractNumId w:val="3"/>
  </w:num>
  <w:num w:numId="9">
    <w:abstractNumId w:val="8"/>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55"/>
    <w:rsid w:val="0019543D"/>
    <w:rsid w:val="001D5CD4"/>
    <w:rsid w:val="001F3F59"/>
    <w:rsid w:val="00281A7A"/>
    <w:rsid w:val="003270ED"/>
    <w:rsid w:val="00342357"/>
    <w:rsid w:val="00365791"/>
    <w:rsid w:val="00390886"/>
    <w:rsid w:val="00434FB6"/>
    <w:rsid w:val="004E260A"/>
    <w:rsid w:val="004E6688"/>
    <w:rsid w:val="0050124F"/>
    <w:rsid w:val="005129FD"/>
    <w:rsid w:val="00533D8C"/>
    <w:rsid w:val="00582017"/>
    <w:rsid w:val="00627773"/>
    <w:rsid w:val="00645508"/>
    <w:rsid w:val="006E0DE3"/>
    <w:rsid w:val="00704CD7"/>
    <w:rsid w:val="007D0A29"/>
    <w:rsid w:val="008107FD"/>
    <w:rsid w:val="00843E35"/>
    <w:rsid w:val="009553D0"/>
    <w:rsid w:val="00972E23"/>
    <w:rsid w:val="00974674"/>
    <w:rsid w:val="00AF5147"/>
    <w:rsid w:val="00B20655"/>
    <w:rsid w:val="00B41288"/>
    <w:rsid w:val="00B6013B"/>
    <w:rsid w:val="00B64070"/>
    <w:rsid w:val="00BD033A"/>
    <w:rsid w:val="00BE6222"/>
    <w:rsid w:val="00C041E1"/>
    <w:rsid w:val="00C4177D"/>
    <w:rsid w:val="00CB5592"/>
    <w:rsid w:val="00D800A3"/>
    <w:rsid w:val="00E708EB"/>
    <w:rsid w:val="00F33D85"/>
    <w:rsid w:val="01AA3B69"/>
    <w:rsid w:val="08D265C9"/>
    <w:rsid w:val="09FC0BB7"/>
    <w:rsid w:val="14887498"/>
    <w:rsid w:val="1907073E"/>
    <w:rsid w:val="1FC3700C"/>
    <w:rsid w:val="3ABC2BF3"/>
    <w:rsid w:val="42AC1B0F"/>
    <w:rsid w:val="64C32C76"/>
    <w:rsid w:val="68E466CC"/>
    <w:rsid w:val="6DAB11F9"/>
    <w:rsid w:val="71F606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5"/>
    <w:qFormat/>
    <w:uiPriority w:val="0"/>
    <w:pPr>
      <w:ind w:firstLine="420" w:firstLineChars="200"/>
    </w:pPr>
    <w:rPr>
      <w:szCs w:val="24"/>
    </w:rPr>
  </w:style>
  <w:style w:type="paragraph" w:styleId="5">
    <w:name w:val="Balloon Text"/>
    <w:basedOn w:val="1"/>
    <w:link w:val="17"/>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8"/>
    <w:link w:val="2"/>
    <w:qFormat/>
    <w:uiPriority w:val="9"/>
    <w:rPr>
      <w:b/>
      <w:bCs/>
      <w:kern w:val="44"/>
      <w:sz w:val="44"/>
      <w:szCs w:val="44"/>
    </w:rPr>
  </w:style>
  <w:style w:type="character" w:customStyle="1" w:styleId="13">
    <w:name w:val="标题 2 Char"/>
    <w:basedOn w:val="8"/>
    <w:link w:val="3"/>
    <w:qFormat/>
    <w:uiPriority w:val="9"/>
    <w:rPr>
      <w:rFonts w:asciiTheme="majorHAnsi" w:hAnsiTheme="majorHAnsi" w:eastAsiaTheme="majorEastAsia" w:cstheme="majorBidi"/>
      <w:b/>
      <w:bCs/>
      <w:sz w:val="32"/>
      <w:szCs w:val="32"/>
    </w:rPr>
  </w:style>
  <w:style w:type="character" w:customStyle="1" w:styleId="14">
    <w:name w:val="正文文本缩进 Char"/>
    <w:basedOn w:val="8"/>
    <w:link w:val="4"/>
    <w:qFormat/>
    <w:uiPriority w:val="0"/>
    <w:rPr>
      <w:szCs w:val="24"/>
    </w:rPr>
  </w:style>
  <w:style w:type="character" w:customStyle="1" w:styleId="15">
    <w:name w:val="正文文本缩进 Char1"/>
    <w:basedOn w:val="8"/>
    <w:link w:val="4"/>
    <w:semiHidden/>
    <w:qFormat/>
    <w:uiPriority w:val="99"/>
  </w:style>
  <w:style w:type="paragraph" w:customStyle="1" w:styleId="16">
    <w:name w:val="列出段落1"/>
    <w:basedOn w:val="1"/>
    <w:qFormat/>
    <w:uiPriority w:val="34"/>
    <w:pPr>
      <w:ind w:firstLine="420" w:firstLineChars="200"/>
    </w:pPr>
  </w:style>
  <w:style w:type="character" w:customStyle="1" w:styleId="17">
    <w:name w:val="批注框文本 Char"/>
    <w:basedOn w:val="8"/>
    <w:link w:val="5"/>
    <w:semiHidden/>
    <w:qFormat/>
    <w:uiPriority w:val="99"/>
    <w:rPr>
      <w:sz w:val="18"/>
      <w:szCs w:val="18"/>
    </w:rPr>
  </w:style>
  <w:style w:type="character" w:customStyle="1" w:styleId="18">
    <w:name w:val="页眉 Char"/>
    <w:basedOn w:val="8"/>
    <w:link w:val="7"/>
    <w:semiHidden/>
    <w:uiPriority w:val="99"/>
    <w:rPr>
      <w:sz w:val="18"/>
      <w:szCs w:val="18"/>
    </w:rPr>
  </w:style>
  <w:style w:type="character" w:customStyle="1" w:styleId="19">
    <w:name w:val="页脚 Char"/>
    <w:basedOn w:val="8"/>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FBED6FD-C4AC-4162-9861-65A9BC2688DC}" type="doc">
      <dgm:prSet loTypeId="urn:microsoft.com/office/officeart/2005/8/layout/process3#1" loCatId="process" qsTypeId="urn:microsoft.com/office/officeart/2005/8/quickstyle/simple1#1" qsCatId="simple" csTypeId="urn:microsoft.com/office/officeart/2005/8/colors/colorful1#1" csCatId="colorful" phldr="1"/>
      <dgm:spPr/>
      <dgm:t>
        <a:bodyPr/>
        <a:p>
          <a:endParaRPr lang="zh-CN" altLang="en-US"/>
        </a:p>
      </dgm:t>
    </dgm:pt>
    <dgm:pt modelId="{9C618C3C-3379-4B62-9B1D-3BBD07B1F023}">
      <dgm:prSet phldrT="[文本]"/>
      <dgm:spPr>
        <a:solidFill>
          <a:srgbClr val="C72519"/>
        </a:solidFill>
      </dgm:spPr>
      <dgm:t>
        <a:bodyPr/>
        <a:p>
          <a:r>
            <a:rPr lang="zh-CN" altLang="en-US" dirty="0" smtClean="0"/>
            <a:t>研究者</a:t>
          </a:r>
          <a:r>
            <a:rPr lang="en-US" altLang="zh-CN" dirty="0" smtClean="0"/>
            <a:t>/</a:t>
          </a:r>
          <a:r>
            <a:rPr lang="zh-CN" altLang="en-US" dirty="0" smtClean="0"/>
            <a:t>申办者</a:t>
          </a:r>
          <a:endParaRPr lang="zh-CN" altLang="en-US" dirty="0"/>
        </a:p>
      </dgm:t>
    </dgm:pt>
    <dgm:pt modelId="{AA2FC6FE-D430-4C96-A10C-493A1E0E2C4B}" cxnId="{D3CD1954-5224-4970-9199-7015A2BC0473}" type="parTrans">
      <dgm:prSet/>
      <dgm:spPr/>
      <dgm:t>
        <a:bodyPr/>
        <a:p>
          <a:endParaRPr lang="zh-CN" altLang="en-US"/>
        </a:p>
      </dgm:t>
    </dgm:pt>
    <dgm:pt modelId="{7745C341-DCE7-45A0-81A1-0E655B80C88E}" cxnId="{D3CD1954-5224-4970-9199-7015A2BC0473}" type="sibTrans">
      <dgm:prSet/>
      <dgm:spPr/>
      <dgm:t>
        <a:bodyPr/>
        <a:p>
          <a:endParaRPr lang="zh-CN" altLang="en-US"/>
        </a:p>
      </dgm:t>
    </dgm:pt>
    <dgm:pt modelId="{24F8FD93-2522-4435-823A-A4E95FA623EF}">
      <dgm:prSet phldrT="[文本]" phldr="0" custT="0"/>
      <dgm:spPr/>
      <dgm:t>
        <a:bodyPr vert="horz" wrap="square"/>
        <a:p>
          <a:pPr>
            <a:lnSpc>
              <a:spcPct val="100000"/>
            </a:lnSpc>
            <a:spcBef>
              <a:spcPct val="0"/>
            </a:spcBef>
            <a:spcAft>
              <a:spcPct val="15000"/>
            </a:spcAft>
          </a:pPr>
          <a:r>
            <a:rPr lang="en-US" altLang="zh-CN" dirty="0" smtClean="0"/>
            <a:t>ATMS</a:t>
          </a:r>
          <a:r>
            <a:rPr lang="zh-CN" altLang="en-US" dirty="0" smtClean="0"/>
            <a:t>系统上提交材料</a:t>
          </a:r>
        </a:p>
      </dgm:t>
    </dgm:pt>
    <dgm:pt modelId="{61A65B6D-1B0F-4AEB-9B8A-48138AAB8EBC}" cxnId="{BECD17BE-E95E-4306-81D0-F10AF6B66657}" type="parTrans">
      <dgm:prSet/>
      <dgm:spPr/>
      <dgm:t>
        <a:bodyPr/>
        <a:p>
          <a:endParaRPr lang="zh-CN" altLang="en-US"/>
        </a:p>
      </dgm:t>
    </dgm:pt>
    <dgm:pt modelId="{D8639E63-E9BB-4403-92EA-E8BF3B82D7FC}" cxnId="{BECD17BE-E95E-4306-81D0-F10AF6B66657}" type="sibTrans">
      <dgm:prSet/>
      <dgm:spPr/>
      <dgm:t>
        <a:bodyPr/>
        <a:p>
          <a:endParaRPr lang="zh-CN" altLang="en-US"/>
        </a:p>
      </dgm:t>
    </dgm:pt>
    <dgm:pt modelId="{A604FC5F-BE3C-4349-810E-EE69D316313D}">
      <dgm:prSet phldr="0" custT="0"/>
      <dgm:spPr/>
      <dgm:t>
        <a:bodyPr vert="horz" wrap="square"/>
        <a:p>
          <a:pPr>
            <a:lnSpc>
              <a:spcPct val="100000"/>
            </a:lnSpc>
            <a:spcBef>
              <a:spcPct val="0"/>
            </a:spcBef>
            <a:spcAft>
              <a:spcPct val="15000"/>
            </a:spcAft>
          </a:pPr>
          <a:r>
            <a:rPr lang="zh-CN" altLang="en-US" dirty="0" smtClean="0"/>
            <a:t>递交伦理审查申请资料</a:t>
          </a:r>
          <a:endParaRPr lang="zh-CN" altLang="en-US" dirty="0"/>
        </a:p>
      </dgm:t>
    </dgm:pt>
    <dgm:pt modelId="{A3BAE379-BD03-4164-9550-FB414CF5F15B}" cxnId="{8850397A-9C00-41AD-872B-42045243FE17}" type="parTrans">
      <dgm:prSet/>
      <dgm:spPr/>
    </dgm:pt>
    <dgm:pt modelId="{37D1EEC6-3ECB-4D9C-9812-CDCF34B056DD}" cxnId="{8850397A-9C00-41AD-872B-42045243FE17}" type="sibTrans">
      <dgm:prSet/>
      <dgm:spPr/>
    </dgm:pt>
    <dgm:pt modelId="{C2008A2E-DD2B-46A7-8E0E-1AC5C6B1E8AF}">
      <dgm:prSet phldr="0" custT="0"/>
      <dgm:spPr/>
      <dgm:t>
        <a:bodyPr vert="horz" wrap="square"/>
        <a:p>
          <a:pPr>
            <a:lnSpc>
              <a:spcPct val="100000"/>
            </a:lnSpc>
            <a:spcBef>
              <a:spcPct val="0"/>
            </a:spcBef>
            <a:spcAft>
              <a:spcPct val="15000"/>
            </a:spcAft>
          </a:pPr>
          <a:r>
            <a:rPr lang="zh-CN" altLang="en-US" dirty="0" smtClean="0"/>
            <a:t>补充资料</a:t>
          </a:r>
          <a:endParaRPr lang="zh-CN" altLang="en-US" dirty="0"/>
        </a:p>
      </dgm:t>
    </dgm:pt>
    <dgm:pt modelId="{83E5E927-CF7B-4485-A440-14298C1E2CAA}" cxnId="{99C6285F-B89A-4B5B-806D-72A8E739F839}" type="parTrans">
      <dgm:prSet/>
      <dgm:spPr/>
    </dgm:pt>
    <dgm:pt modelId="{378F13CD-7AE4-4EC5-83CF-D7555F8A64F8}" cxnId="{99C6285F-B89A-4B5B-806D-72A8E739F839}" type="sibTrans">
      <dgm:prSet/>
      <dgm:spPr/>
    </dgm:pt>
    <dgm:pt modelId="{9335CA32-A6B2-4064-AF71-413237252F3B}">
      <dgm:prSet phldr="0" custT="0"/>
      <dgm:spPr/>
      <dgm:t>
        <a:bodyPr vert="horz" wrap="square"/>
        <a:p>
          <a:pPr>
            <a:lnSpc>
              <a:spcPct val="100000"/>
            </a:lnSpc>
            <a:spcBef>
              <a:spcPct val="0"/>
            </a:spcBef>
            <a:spcAft>
              <a:spcPct val="15000"/>
            </a:spcAft>
          </a:pPr>
          <a:endParaRPr lang="zh-CN" altLang="en-US" dirty="0"/>
        </a:p>
      </dgm:t>
    </dgm:pt>
    <dgm:pt modelId="{4978A2F7-601F-481D-B49C-CEC30B5EB75E}" cxnId="{84E11CD5-BE77-42E1-B5AA-B7B15236DF32}" type="parTrans">
      <dgm:prSet/>
      <dgm:spPr/>
    </dgm:pt>
    <dgm:pt modelId="{DF411E38-DB60-4C3B-8ADD-01E159990A80}" cxnId="{84E11CD5-BE77-42E1-B5AA-B7B15236DF32}" type="sibTrans">
      <dgm:prSet/>
      <dgm:spPr/>
    </dgm:pt>
    <dgm:pt modelId="{415634FE-4379-4DC4-9EBE-CFD43BE3088E}">
      <dgm:prSet phldr="0" custT="0"/>
      <dgm:spPr/>
      <dgm:t>
        <a:bodyPr vert="horz" wrap="square"/>
        <a:p>
          <a:pPr>
            <a:lnSpc>
              <a:spcPct val="100000"/>
            </a:lnSpc>
            <a:spcBef>
              <a:spcPct val="0"/>
            </a:spcBef>
            <a:spcAft>
              <a:spcPct val="15000"/>
            </a:spcAft>
          </a:pPr>
          <a:endParaRPr lang="zh-CN" altLang="en-US" dirty="0"/>
        </a:p>
      </dgm:t>
    </dgm:pt>
    <dgm:pt modelId="{6F53C0F3-E566-48C4-AF86-57F4D4871825}" cxnId="{A9C92586-1A6B-440B-9531-C42F97E805A4}" type="parTrans">
      <dgm:prSet/>
      <dgm:spPr/>
    </dgm:pt>
    <dgm:pt modelId="{FAC0412E-EB8D-488F-8559-6A16E1171CB9}" cxnId="{A9C92586-1A6B-440B-9531-C42F97E805A4}" type="sibTrans">
      <dgm:prSet/>
      <dgm:spPr/>
    </dgm:pt>
    <dgm:pt modelId="{F743AC36-551F-4E0C-B047-813D21DC47BC}">
      <dgm:prSet phldr="0" custT="0"/>
      <dgm:spPr/>
      <dgm:t>
        <a:bodyPr vert="horz" wrap="square"/>
        <a:p>
          <a:pPr>
            <a:lnSpc>
              <a:spcPct val="100000"/>
            </a:lnSpc>
            <a:spcBef>
              <a:spcPct val="0"/>
            </a:spcBef>
            <a:spcAft>
              <a:spcPct val="15000"/>
            </a:spcAft>
          </a:pPr>
          <a:endParaRPr lang="zh-CN" altLang="en-US" dirty="0">
            <a:solidFill>
              <a:srgbClr val="FF0000"/>
            </a:solidFill>
          </a:endParaRPr>
        </a:p>
      </dgm:t>
    </dgm:pt>
    <dgm:pt modelId="{D0023A4C-9B18-457B-951B-DE9BC6370FAF}" cxnId="{937EFF7B-3A87-4020-887F-75CB57AD6C51}" type="parTrans">
      <dgm:prSet/>
      <dgm:spPr/>
    </dgm:pt>
    <dgm:pt modelId="{4131FB60-F566-45B3-81AE-7EEEC8B516C3}" cxnId="{937EFF7B-3A87-4020-887F-75CB57AD6C51}" type="sibTrans">
      <dgm:prSet/>
      <dgm:spPr/>
    </dgm:pt>
    <dgm:pt modelId="{CD50CAA0-1962-4545-8300-4B1C9E5417C3}">
      <dgm:prSet phldr="0" custT="0"/>
      <dgm:spPr/>
      <dgm:t>
        <a:bodyPr vert="horz" wrap="square"/>
        <a:p>
          <a:pPr>
            <a:lnSpc>
              <a:spcPct val="100000"/>
            </a:lnSpc>
            <a:spcBef>
              <a:spcPct val="0"/>
            </a:spcBef>
            <a:spcAft>
              <a:spcPct val="15000"/>
            </a:spcAft>
          </a:pPr>
          <a:endParaRPr lang="zh-CN" altLang="en-US" dirty="0">
            <a:solidFill>
              <a:srgbClr val="FF0000"/>
            </a:solidFill>
          </a:endParaRPr>
        </a:p>
      </dgm:t>
    </dgm:pt>
    <dgm:pt modelId="{9D4BB8BF-21C6-42C8-81E5-FD4A4B35F7C0}" cxnId="{B0C4F4A0-8E01-4543-BB88-78AF8B9AAF70}" type="parTrans">
      <dgm:prSet/>
      <dgm:spPr/>
    </dgm:pt>
    <dgm:pt modelId="{4F3B3E69-46B2-4378-81EE-5C2B5424B0CA}" cxnId="{B0C4F4A0-8E01-4543-BB88-78AF8B9AAF70}" type="sibTrans">
      <dgm:prSet/>
      <dgm:spPr/>
    </dgm:pt>
    <dgm:pt modelId="{57A3E8B7-AFFF-49EE-BD6A-DA4A340BCFC3}">
      <dgm:prSet phldr="0" custT="0"/>
      <dgm:spPr/>
      <dgm:t>
        <a:bodyPr vert="horz" wrap="square"/>
        <a:p>
          <a:pPr>
            <a:lnSpc>
              <a:spcPct val="100000"/>
            </a:lnSpc>
            <a:spcBef>
              <a:spcPct val="0"/>
            </a:spcBef>
            <a:spcAft>
              <a:spcPct val="15000"/>
            </a:spcAft>
          </a:pPr>
          <a:r>
            <a:rPr lang="zh-CN" altLang="en-US" dirty="0" smtClean="0">
              <a:solidFill>
                <a:srgbClr val="FF0000"/>
              </a:solidFill>
            </a:rPr>
            <a:t>根据审查意见修改方案等</a:t>
          </a:r>
          <a:endParaRPr lang="zh-CN" altLang="en-US" dirty="0">
            <a:solidFill>
              <a:srgbClr val="FF0000"/>
            </a:solidFill>
          </a:endParaRPr>
        </a:p>
      </dgm:t>
    </dgm:pt>
    <dgm:pt modelId="{DB91C0B0-6D66-4658-BF00-324BD647E512}" cxnId="{A5D1244D-1AAE-4D25-ACA6-FD0934E7819F}" type="parTrans">
      <dgm:prSet/>
      <dgm:spPr/>
    </dgm:pt>
    <dgm:pt modelId="{3589AB0C-82F7-4F80-B992-3C304C97A591}" cxnId="{A5D1244D-1AAE-4D25-ACA6-FD0934E7819F}" type="sibTrans">
      <dgm:prSet/>
      <dgm:spPr/>
    </dgm:pt>
    <dgm:pt modelId="{6AA62E78-091D-41B2-BDBC-D757FAEC7DC5}">
      <dgm:prSet phldrT="[文本]"/>
      <dgm:spPr>
        <a:solidFill>
          <a:srgbClr val="00B050"/>
        </a:solidFill>
      </dgm:spPr>
      <dgm:t>
        <a:bodyPr/>
        <a:p>
          <a:r>
            <a:rPr lang="zh-CN" altLang="en-US" dirty="0" smtClean="0"/>
            <a:t>伦理委员会秘书</a:t>
          </a:r>
          <a:endParaRPr lang="zh-CN" altLang="en-US" dirty="0"/>
        </a:p>
      </dgm:t>
    </dgm:pt>
    <dgm:pt modelId="{9DBAA050-C0E0-4A44-9F4C-ACE92B8A90D1}" cxnId="{CBCA0F6E-6CFD-468A-9A96-2CE8F29AB8BF}" type="parTrans">
      <dgm:prSet/>
      <dgm:spPr/>
      <dgm:t>
        <a:bodyPr/>
        <a:p>
          <a:endParaRPr lang="zh-CN" altLang="en-US"/>
        </a:p>
      </dgm:t>
    </dgm:pt>
    <dgm:pt modelId="{32013201-4842-4A70-AA39-F1EDEFDACE7C}" cxnId="{CBCA0F6E-6CFD-468A-9A96-2CE8F29AB8BF}" type="sibTrans">
      <dgm:prSet/>
      <dgm:spPr/>
      <dgm:t>
        <a:bodyPr/>
        <a:p>
          <a:endParaRPr lang="zh-CN" altLang="en-US"/>
        </a:p>
      </dgm:t>
    </dgm:pt>
    <dgm:pt modelId="{70D59B6B-B09C-428A-AF60-E6E8C74A05F1}">
      <dgm:prSet phldrT="[文本]"/>
      <dgm:spPr/>
      <dgm:t>
        <a:bodyPr/>
        <a:p>
          <a:r>
            <a:rPr lang="zh-CN" altLang="en-US" dirty="0" smtClean="0"/>
            <a:t>受理</a:t>
          </a:r>
          <a:endParaRPr lang="zh-CN" altLang="en-US" dirty="0"/>
        </a:p>
      </dgm:t>
    </dgm:pt>
    <dgm:pt modelId="{5F6B131C-2F81-45E8-87EF-3A1FF0C7694D}" cxnId="{F00BC39F-07C0-4D3B-ACD6-62CC2EB3441D}" type="parTrans">
      <dgm:prSet/>
      <dgm:spPr/>
      <dgm:t>
        <a:bodyPr/>
        <a:p>
          <a:endParaRPr lang="zh-CN" altLang="en-US"/>
        </a:p>
      </dgm:t>
    </dgm:pt>
    <dgm:pt modelId="{FF6F5C81-55D6-45A2-8E0A-01D060AE7372}" cxnId="{F00BC39F-07C0-4D3B-ACD6-62CC2EB3441D}" type="sibTrans">
      <dgm:prSet/>
      <dgm:spPr/>
      <dgm:t>
        <a:bodyPr/>
        <a:p>
          <a:endParaRPr lang="zh-CN" altLang="en-US"/>
        </a:p>
      </dgm:t>
    </dgm:pt>
    <dgm:pt modelId="{3E46E86A-FD2A-47D2-A2AA-AA2D8CC48B2D}">
      <dgm:prSet phldrT="[文本]"/>
      <dgm:spPr/>
      <dgm:t>
        <a:bodyPr/>
        <a:p>
          <a:r>
            <a:rPr lang="zh-CN" altLang="en-US" dirty="0" smtClean="0"/>
            <a:t>形式审查</a:t>
          </a:r>
          <a:endParaRPr lang="zh-CN" altLang="en-US" dirty="0"/>
        </a:p>
      </dgm:t>
    </dgm:pt>
    <dgm:pt modelId="{10335345-AA59-4EA6-8E8B-F5C9C2CCEF80}" cxnId="{DB757F80-AC19-4F28-A136-AA80670A0B49}" type="parTrans">
      <dgm:prSet/>
      <dgm:spPr/>
      <dgm:t>
        <a:bodyPr/>
        <a:p>
          <a:endParaRPr lang="zh-CN" altLang="en-US"/>
        </a:p>
      </dgm:t>
    </dgm:pt>
    <dgm:pt modelId="{DF6BD05F-0B07-458C-9ABB-17E248A2DA26}" cxnId="{DB757F80-AC19-4F28-A136-AA80670A0B49}" type="sibTrans">
      <dgm:prSet/>
      <dgm:spPr/>
      <dgm:t>
        <a:bodyPr/>
        <a:p>
          <a:endParaRPr lang="zh-CN" altLang="en-US"/>
        </a:p>
      </dgm:t>
    </dgm:pt>
    <dgm:pt modelId="{6D81A0F4-E4FF-445F-B1F8-E9F7EC263DBA}">
      <dgm:prSet phldrT="[文本]"/>
      <dgm:spPr/>
      <dgm:t>
        <a:bodyPr/>
        <a:p>
          <a:r>
            <a:rPr lang="zh-CN" altLang="en-US" dirty="0"/>
            <a:t>登记</a:t>
          </a:r>
        </a:p>
      </dgm:t>
    </dgm:pt>
    <dgm:pt modelId="{B574C725-5D9A-4FD5-A3B0-DF4961340377}" cxnId="{C164FB80-7E0C-4213-89F0-54E590061F23}" type="parTrans">
      <dgm:prSet/>
      <dgm:spPr/>
      <dgm:t>
        <a:bodyPr/>
        <a:p>
          <a:endParaRPr lang="zh-CN" altLang="en-US"/>
        </a:p>
      </dgm:t>
    </dgm:pt>
    <dgm:pt modelId="{A3F2C5EF-EFC7-40E9-852F-3DF4743528D1}" cxnId="{C164FB80-7E0C-4213-89F0-54E590061F23}" type="sibTrans">
      <dgm:prSet/>
      <dgm:spPr/>
      <dgm:t>
        <a:bodyPr/>
        <a:p>
          <a:endParaRPr lang="zh-CN" altLang="en-US"/>
        </a:p>
      </dgm:t>
    </dgm:pt>
    <dgm:pt modelId="{ED5B80E5-A5B9-4FE3-8926-9945228CD0CE}">
      <dgm:prSet phldrT="[文本]"/>
      <dgm:spPr/>
      <dgm:t>
        <a:bodyPr/>
        <a:p>
          <a:r>
            <a:rPr lang="zh-CN" altLang="en-US" dirty="0"/>
            <a:t>送审</a:t>
          </a:r>
        </a:p>
      </dgm:t>
    </dgm:pt>
    <dgm:pt modelId="{E942975F-30F9-458E-84E5-79A889FCE9CF}" cxnId="{33D0D402-4735-4A38-99BB-46B5660857E5}" type="parTrans">
      <dgm:prSet/>
      <dgm:spPr/>
      <dgm:t>
        <a:bodyPr/>
        <a:p>
          <a:endParaRPr lang="zh-CN" altLang="en-US"/>
        </a:p>
      </dgm:t>
    </dgm:pt>
    <dgm:pt modelId="{CD7BCEC7-794E-4DE4-9177-1AB7268FE3BB}" cxnId="{33D0D402-4735-4A38-99BB-46B5660857E5}" type="sibTrans">
      <dgm:prSet/>
      <dgm:spPr/>
      <dgm:t>
        <a:bodyPr/>
        <a:p>
          <a:endParaRPr lang="zh-CN" altLang="en-US"/>
        </a:p>
      </dgm:t>
    </dgm:pt>
    <dgm:pt modelId="{8612BFA1-CD8F-444C-9C1A-7CFA3ACF03DA}">
      <dgm:prSet phldrT="[文本]"/>
      <dgm:spPr/>
      <dgm:t>
        <a:bodyPr/>
        <a:p>
          <a:endParaRPr lang="zh-CN" altLang="en-US" dirty="0"/>
        </a:p>
      </dgm:t>
    </dgm:pt>
    <dgm:pt modelId="{2C5A0602-1DBD-4ECA-8C9E-9FAB8A0ABEFD}" cxnId="{B668E632-73D6-46E1-BC89-67A9DAB6A27F}" type="parTrans">
      <dgm:prSet/>
      <dgm:spPr/>
      <dgm:t>
        <a:bodyPr/>
        <a:p>
          <a:endParaRPr lang="zh-CN" altLang="en-US"/>
        </a:p>
      </dgm:t>
    </dgm:pt>
    <dgm:pt modelId="{B7B4C821-8F43-4162-A164-2FD613C86098}" cxnId="{B668E632-73D6-46E1-BC89-67A9DAB6A27F}" type="sibTrans">
      <dgm:prSet/>
      <dgm:spPr/>
      <dgm:t>
        <a:bodyPr/>
        <a:p>
          <a:endParaRPr lang="zh-CN" altLang="en-US"/>
        </a:p>
      </dgm:t>
    </dgm:pt>
    <dgm:pt modelId="{C7BA32E9-769B-48CD-A557-571B9E8F1FA3}">
      <dgm:prSet phldrT="[文本]"/>
      <dgm:spPr/>
      <dgm:t>
        <a:bodyPr/>
        <a:p>
          <a:r>
            <a:rPr lang="zh-CN">
              <a:solidFill>
                <a:srgbClr val="FF0000"/>
              </a:solidFill>
            </a:rPr>
            <a:t>起草审查决定</a:t>
          </a:r>
          <a:r>
            <a:rPr lang="zh-CN" altLang="en-US">
              <a:solidFill>
                <a:srgbClr val="FF0000"/>
              </a:solidFill>
            </a:rPr>
            <a:t>意见</a:t>
          </a:r>
          <a:endParaRPr lang="zh-CN" altLang="en-US" dirty="0">
            <a:solidFill>
              <a:srgbClr val="FF0000"/>
            </a:solidFill>
          </a:endParaRPr>
        </a:p>
      </dgm:t>
    </dgm:pt>
    <dgm:pt modelId="{E89C910C-EDEC-4F46-BD14-ACCEB8418315}" cxnId="{163DD09A-1E49-435D-B0C2-7535422EB85B}" type="parTrans">
      <dgm:prSet/>
      <dgm:spPr/>
      <dgm:t>
        <a:bodyPr/>
        <a:p>
          <a:endParaRPr lang="zh-CN" altLang="en-US"/>
        </a:p>
      </dgm:t>
    </dgm:pt>
    <dgm:pt modelId="{D174705A-337A-4A6C-8B15-8A422283B135}" cxnId="{163DD09A-1E49-435D-B0C2-7535422EB85B}" type="sibTrans">
      <dgm:prSet/>
      <dgm:spPr/>
      <dgm:t>
        <a:bodyPr/>
        <a:p>
          <a:endParaRPr lang="zh-CN" altLang="en-US"/>
        </a:p>
      </dgm:t>
    </dgm:pt>
    <dgm:pt modelId="{5FAEA586-FA90-4A4A-965D-03731FEF70AC}">
      <dgm:prSet phldrT="[文本]"/>
      <dgm:spPr/>
      <dgm:t>
        <a:bodyPr/>
        <a:p>
          <a:r>
            <a:rPr lang="zh-CN">
              <a:solidFill>
                <a:srgbClr val="FF0000"/>
              </a:solidFill>
            </a:rPr>
            <a:t>呈送主任委员审核</a:t>
          </a:r>
          <a:endParaRPr lang="zh-CN" altLang="en-US" dirty="0">
            <a:solidFill>
              <a:srgbClr val="FF0000"/>
            </a:solidFill>
          </a:endParaRPr>
        </a:p>
      </dgm:t>
    </dgm:pt>
    <dgm:pt modelId="{1DC5BB96-4AA2-4DBD-8FE9-280BBBBCDF9C}" cxnId="{7CB76992-CF92-47B7-AAE9-0D41293D3B0B}" type="parTrans">
      <dgm:prSet/>
      <dgm:spPr/>
      <dgm:t>
        <a:bodyPr/>
        <a:p>
          <a:endParaRPr lang="zh-CN" altLang="en-US"/>
        </a:p>
      </dgm:t>
    </dgm:pt>
    <dgm:pt modelId="{C8B8C799-0221-4D86-9BF9-A1997D0CE2F6}" cxnId="{7CB76992-CF92-47B7-AAE9-0D41293D3B0B}" type="sibTrans">
      <dgm:prSet/>
      <dgm:spPr/>
      <dgm:t>
        <a:bodyPr/>
        <a:p>
          <a:endParaRPr lang="zh-CN" altLang="en-US"/>
        </a:p>
      </dgm:t>
    </dgm:pt>
    <dgm:pt modelId="{372A06BB-F3CE-4AED-A15B-20FFA23386DC}">
      <dgm:prSet phldrT="[文本]"/>
      <dgm:spPr/>
      <dgm:t>
        <a:bodyPr/>
        <a:p>
          <a:r>
            <a:rPr lang="zh-CN" altLang="en-US" dirty="0" smtClean="0">
              <a:solidFill>
                <a:srgbClr val="FF0000"/>
              </a:solidFill>
            </a:rPr>
            <a:t>反馈审查决定</a:t>
          </a:r>
          <a:endParaRPr lang="zh-CN" altLang="en-US" dirty="0">
            <a:solidFill>
              <a:srgbClr val="FF0000"/>
            </a:solidFill>
          </a:endParaRPr>
        </a:p>
      </dgm:t>
    </dgm:pt>
    <dgm:pt modelId="{5C5D6C0A-BDE1-4A1E-B4EC-52374A5D93CE}" cxnId="{76BE09CE-6E95-4908-B469-2F9387EE45D7}" type="parTrans">
      <dgm:prSet/>
      <dgm:spPr/>
      <dgm:t>
        <a:bodyPr/>
        <a:p>
          <a:endParaRPr lang="zh-CN" altLang="en-US"/>
        </a:p>
      </dgm:t>
    </dgm:pt>
    <dgm:pt modelId="{D6858E06-9667-4DD4-A9C8-BCF6F6A238BD}" cxnId="{76BE09CE-6E95-4908-B469-2F9387EE45D7}" type="sibTrans">
      <dgm:prSet/>
      <dgm:spPr/>
      <dgm:t>
        <a:bodyPr/>
        <a:p>
          <a:endParaRPr lang="zh-CN" altLang="en-US"/>
        </a:p>
      </dgm:t>
    </dgm:pt>
    <dgm:pt modelId="{36922778-0D95-4379-BD5D-4EA56CC17190}">
      <dgm:prSet phldrT="[文本]"/>
      <dgm:spPr>
        <a:solidFill>
          <a:srgbClr val="7030A0"/>
        </a:solidFill>
      </dgm:spPr>
      <dgm:t>
        <a:bodyPr/>
        <a:p>
          <a:r>
            <a:rPr lang="zh-CN" altLang="en-US" dirty="0" smtClean="0"/>
            <a:t>伦理委员</a:t>
          </a:r>
          <a:endParaRPr lang="zh-CN" altLang="en-US" dirty="0"/>
        </a:p>
      </dgm:t>
    </dgm:pt>
    <dgm:pt modelId="{53FFEE16-EE31-49F0-8937-B314D9E6CE36}" cxnId="{5EEFDB83-A220-4F4D-9B31-AD14A979687F}" type="parTrans">
      <dgm:prSet/>
      <dgm:spPr/>
      <dgm:t>
        <a:bodyPr/>
        <a:p>
          <a:endParaRPr lang="zh-CN" altLang="en-US"/>
        </a:p>
      </dgm:t>
    </dgm:pt>
    <dgm:pt modelId="{6FBF5E61-3B88-4647-AD35-28BF1971A5D9}" cxnId="{5EEFDB83-A220-4F4D-9B31-AD14A979687F}" type="sibTrans">
      <dgm:prSet/>
      <dgm:spPr/>
      <dgm:t>
        <a:bodyPr/>
        <a:p>
          <a:endParaRPr lang="zh-CN" altLang="en-US"/>
        </a:p>
      </dgm:t>
    </dgm:pt>
    <dgm:pt modelId="{8A7D69F1-F8D8-4E00-B698-C78A240E07D7}">
      <dgm:prSet phldrT="[文本]"/>
      <dgm:spPr/>
      <dgm:t>
        <a:bodyPr/>
        <a:p>
          <a:endParaRPr lang="zh-CN" altLang="en-US" dirty="0"/>
        </a:p>
      </dgm:t>
    </dgm:pt>
    <dgm:pt modelId="{C9A6DDFD-E2FC-4E4F-A7AD-1ECDAA45E322}" cxnId="{BE91A0CA-AC95-4956-B8CD-D9E4A3A2653D}" type="parTrans">
      <dgm:prSet/>
      <dgm:spPr/>
      <dgm:t>
        <a:bodyPr/>
        <a:p>
          <a:endParaRPr lang="zh-CN" altLang="en-US"/>
        </a:p>
      </dgm:t>
    </dgm:pt>
    <dgm:pt modelId="{FED611F3-6AB0-42B7-8D66-9C4ED6DA1175}" cxnId="{BE91A0CA-AC95-4956-B8CD-D9E4A3A2653D}" type="sibTrans">
      <dgm:prSet/>
      <dgm:spPr/>
      <dgm:t>
        <a:bodyPr/>
        <a:p>
          <a:endParaRPr lang="zh-CN" altLang="en-US"/>
        </a:p>
      </dgm:t>
    </dgm:pt>
    <dgm:pt modelId="{B804B909-6BB5-475E-990F-82A941382F23}">
      <dgm:prSet phldrT="[文本]"/>
      <dgm:spPr/>
      <dgm:t>
        <a:bodyPr/>
        <a:p>
          <a:r>
            <a:rPr lang="zh-CN" altLang="en-US" dirty="0" smtClean="0"/>
            <a:t>审查递交资料</a:t>
          </a:r>
          <a:endParaRPr lang="zh-CN" altLang="en-US" dirty="0"/>
        </a:p>
      </dgm:t>
    </dgm:pt>
    <dgm:pt modelId="{43E29832-4611-4735-BF7D-CC3CB3DE0815}" cxnId="{137AAD27-D272-47B9-9363-9B9C4E13A8D5}" type="parTrans">
      <dgm:prSet/>
      <dgm:spPr/>
      <dgm:t>
        <a:bodyPr/>
        <a:p>
          <a:endParaRPr lang="zh-CN" altLang="en-US"/>
        </a:p>
      </dgm:t>
    </dgm:pt>
    <dgm:pt modelId="{FD03025E-B040-476A-8141-45EFDF7AF2C4}" cxnId="{137AAD27-D272-47B9-9363-9B9C4E13A8D5}" type="sibTrans">
      <dgm:prSet/>
      <dgm:spPr/>
      <dgm:t>
        <a:bodyPr/>
        <a:p>
          <a:endParaRPr lang="zh-CN" altLang="en-US"/>
        </a:p>
      </dgm:t>
    </dgm:pt>
    <dgm:pt modelId="{627DAD42-3D0D-4DAD-BEDF-17269DAE5233}">
      <dgm:prSet phldrT="[文本]"/>
      <dgm:spPr/>
      <dgm:t>
        <a:bodyPr/>
        <a:p>
          <a:endParaRPr lang="zh-CN" altLang="en-US" dirty="0"/>
        </a:p>
      </dgm:t>
    </dgm:pt>
    <dgm:pt modelId="{6C820B18-59F4-4D2B-AD86-4EA155FC0478}" cxnId="{2D9A440D-6A1C-4900-A84B-255785CDF2F1}" type="parTrans">
      <dgm:prSet/>
      <dgm:spPr/>
      <dgm:t>
        <a:bodyPr/>
        <a:p>
          <a:endParaRPr lang="zh-CN" altLang="en-US"/>
        </a:p>
      </dgm:t>
    </dgm:pt>
    <dgm:pt modelId="{7478D241-6A6E-4758-959A-D6B6FE9D0A9B}" cxnId="{2D9A440D-6A1C-4900-A84B-255785CDF2F1}" type="sibTrans">
      <dgm:prSet/>
      <dgm:spPr/>
      <dgm:t>
        <a:bodyPr/>
        <a:p>
          <a:endParaRPr lang="zh-CN" altLang="en-US"/>
        </a:p>
      </dgm:t>
    </dgm:pt>
    <dgm:pt modelId="{14CE206C-E3B8-4D17-9966-33E471624AA1}">
      <dgm:prSet phldrT="[文本]"/>
      <dgm:spPr/>
      <dgm:t>
        <a:bodyPr/>
        <a:p>
          <a:r>
            <a:rPr lang="zh-CN" altLang="en-US" dirty="0" smtClean="0"/>
            <a:t>给出审查意见</a:t>
          </a:r>
          <a:endParaRPr lang="zh-CN" altLang="en-US" dirty="0"/>
        </a:p>
      </dgm:t>
    </dgm:pt>
    <dgm:pt modelId="{BE3BB960-928F-4ADF-A7F0-66820E4D6E6D}" cxnId="{BCA8770A-AD9B-49EE-A451-8BDCD7CD22CD}" type="parTrans">
      <dgm:prSet/>
      <dgm:spPr/>
      <dgm:t>
        <a:bodyPr/>
        <a:p>
          <a:endParaRPr lang="zh-CN" altLang="en-US"/>
        </a:p>
      </dgm:t>
    </dgm:pt>
    <dgm:pt modelId="{0543530E-BE83-4DA1-A630-FD352DFA9F80}" cxnId="{BCA8770A-AD9B-49EE-A451-8BDCD7CD22CD}" type="sibTrans">
      <dgm:prSet/>
      <dgm:spPr/>
      <dgm:t>
        <a:bodyPr/>
        <a:p>
          <a:endParaRPr lang="zh-CN" altLang="en-US"/>
        </a:p>
      </dgm:t>
    </dgm:pt>
    <dgm:pt modelId="{49E78A16-EFAC-40E4-9D42-6CE5B6A41028}">
      <dgm:prSet phldrT="[文本]"/>
      <dgm:spPr/>
      <dgm:t>
        <a:bodyPr/>
        <a:p>
          <a:endParaRPr lang="zh-CN" altLang="en-US" dirty="0"/>
        </a:p>
      </dgm:t>
    </dgm:pt>
    <dgm:pt modelId="{A9C8D51B-EF10-44EA-864C-BC12B83BBE53}" cxnId="{9EA9DCEC-5236-40C0-9C75-99AD2FF804A0}" type="parTrans">
      <dgm:prSet/>
      <dgm:spPr/>
      <dgm:t>
        <a:bodyPr/>
        <a:p>
          <a:endParaRPr lang="zh-CN" altLang="en-US"/>
        </a:p>
      </dgm:t>
    </dgm:pt>
    <dgm:pt modelId="{5EE8FFC2-E6F0-49C4-A908-E982D8BF9D66}" cxnId="{9EA9DCEC-5236-40C0-9C75-99AD2FF804A0}" type="sibTrans">
      <dgm:prSet/>
      <dgm:spPr/>
      <dgm:t>
        <a:bodyPr/>
        <a:p>
          <a:endParaRPr lang="zh-CN" altLang="en-US"/>
        </a:p>
      </dgm:t>
    </dgm:pt>
    <dgm:pt modelId="{953CC6A1-DF42-4293-BF8F-2C4427A1AABF}">
      <dgm:prSet phldrT="[文本]"/>
      <dgm:spPr/>
      <dgm:t>
        <a:bodyPr/>
        <a:p>
          <a:endParaRPr lang="zh-CN" altLang="en-US" dirty="0"/>
        </a:p>
      </dgm:t>
    </dgm:pt>
    <dgm:pt modelId="{5BC4EC78-737D-424B-A725-7C64147A3A12}" cxnId="{7253EF69-0212-4F90-9447-FDB97D362243}" type="parTrans">
      <dgm:prSet/>
      <dgm:spPr/>
      <dgm:t>
        <a:bodyPr/>
        <a:p>
          <a:endParaRPr lang="zh-CN" altLang="en-US"/>
        </a:p>
      </dgm:t>
    </dgm:pt>
    <dgm:pt modelId="{FFAF26B0-CFCC-4103-A4D7-39A5CF8B8E15}" cxnId="{7253EF69-0212-4F90-9447-FDB97D362243}" type="sibTrans">
      <dgm:prSet/>
      <dgm:spPr/>
      <dgm:t>
        <a:bodyPr/>
        <a:p>
          <a:endParaRPr lang="zh-CN" altLang="en-US"/>
        </a:p>
      </dgm:t>
    </dgm:pt>
    <dgm:pt modelId="{45F264EB-61C2-4F4C-80AC-0132812B0606}">
      <dgm:prSet phldrT="[文本]"/>
      <dgm:spPr/>
      <dgm:t>
        <a:bodyPr/>
        <a:p>
          <a:r>
            <a:rPr lang="zh-CN" altLang="en-US" dirty="0">
              <a:solidFill>
                <a:srgbClr val="FF0000"/>
              </a:solidFill>
            </a:rPr>
            <a:t>审查方式：</a:t>
          </a:r>
        </a:p>
      </dgm:t>
    </dgm:pt>
    <dgm:pt modelId="{D820DC19-EA43-4B21-A515-CBD2C0BAE1FC}" cxnId="{45D6ED0B-51B7-4238-9CD9-E752164E7C29}" type="parTrans">
      <dgm:prSet/>
      <dgm:spPr/>
      <dgm:t>
        <a:bodyPr/>
        <a:p>
          <a:endParaRPr lang="zh-CN" altLang="en-US"/>
        </a:p>
      </dgm:t>
    </dgm:pt>
    <dgm:pt modelId="{F9736359-A13B-468B-B020-3C1B25553A20}" cxnId="{45D6ED0B-51B7-4238-9CD9-E752164E7C29}" type="sibTrans">
      <dgm:prSet/>
      <dgm:spPr/>
      <dgm:t>
        <a:bodyPr/>
        <a:p>
          <a:endParaRPr lang="zh-CN" altLang="en-US"/>
        </a:p>
      </dgm:t>
    </dgm:pt>
    <dgm:pt modelId="{C9ED745A-6FF8-4E8C-BA2F-B99143BC9EEA}">
      <dgm:prSet phldrT="[文本]"/>
      <dgm:spPr/>
      <dgm:t>
        <a:bodyPr/>
        <a:p>
          <a:r>
            <a:rPr lang="zh-CN" altLang="en-US" dirty="0">
              <a:solidFill>
                <a:srgbClr val="FF0000"/>
              </a:solidFill>
            </a:rPr>
            <a:t>会议审查</a:t>
          </a:r>
        </a:p>
      </dgm:t>
    </dgm:pt>
    <dgm:pt modelId="{D7C70CBF-497F-4C37-B7CB-2BF6C50921F7}" cxnId="{EE266B73-6DE7-4F6D-AAC3-B0E6744E3E51}" type="parTrans">
      <dgm:prSet/>
      <dgm:spPr/>
      <dgm:t>
        <a:bodyPr/>
        <a:p>
          <a:endParaRPr lang="zh-CN" altLang="en-US"/>
        </a:p>
      </dgm:t>
    </dgm:pt>
    <dgm:pt modelId="{BF972178-3C52-4049-B937-D754D890FC18}" cxnId="{EE266B73-6DE7-4F6D-AAC3-B0E6744E3E51}" type="sibTrans">
      <dgm:prSet/>
      <dgm:spPr/>
      <dgm:t>
        <a:bodyPr/>
        <a:p>
          <a:endParaRPr lang="zh-CN" altLang="en-US"/>
        </a:p>
      </dgm:t>
    </dgm:pt>
    <dgm:pt modelId="{DAB4E9AB-0722-4F0E-8D86-E9B0207F8111}">
      <dgm:prSet phldrT="[文本]"/>
      <dgm:spPr/>
      <dgm:t>
        <a:bodyPr/>
        <a:p>
          <a:r>
            <a:rPr lang="zh-CN" altLang="en-US" dirty="0">
              <a:solidFill>
                <a:srgbClr val="FF0000"/>
              </a:solidFill>
            </a:rPr>
            <a:t>快速审查</a:t>
          </a:r>
        </a:p>
      </dgm:t>
    </dgm:pt>
    <dgm:pt modelId="{8E539348-6A8F-4966-908B-2553AB98A3EF}" cxnId="{0CEB0303-F13D-465E-A5B5-8761764310D4}" type="parTrans">
      <dgm:prSet/>
      <dgm:spPr/>
      <dgm:t>
        <a:bodyPr/>
        <a:p>
          <a:endParaRPr lang="zh-CN" altLang="en-US"/>
        </a:p>
      </dgm:t>
    </dgm:pt>
    <dgm:pt modelId="{9EA7A2EA-A8C5-48DD-AF5F-678728F5FBD4}" cxnId="{0CEB0303-F13D-465E-A5B5-8761764310D4}" type="sibTrans">
      <dgm:prSet/>
      <dgm:spPr/>
      <dgm:t>
        <a:bodyPr/>
        <a:p>
          <a:endParaRPr lang="zh-CN" altLang="en-US"/>
        </a:p>
      </dgm:t>
    </dgm:pt>
    <dgm:pt modelId="{0B406C9A-508C-4B5E-A9C1-71A4BC679863}">
      <dgm:prSet phldrT="[文本]"/>
      <dgm:spPr/>
      <dgm:t>
        <a:bodyPr/>
        <a:p>
          <a:endParaRPr lang="zh-CN" altLang="en-US" dirty="0"/>
        </a:p>
      </dgm:t>
    </dgm:pt>
    <dgm:pt modelId="{716F7A95-97E6-4DCA-B0D6-B9B89241AEC8}" cxnId="{0319C08F-F47F-48DF-B977-72069069E4B6}" type="parTrans">
      <dgm:prSet/>
      <dgm:spPr/>
      <dgm:t>
        <a:bodyPr/>
        <a:p>
          <a:endParaRPr lang="zh-CN" altLang="en-US"/>
        </a:p>
      </dgm:t>
    </dgm:pt>
    <dgm:pt modelId="{C6F3B3C3-772C-4D19-88CF-54F64F96D828}" cxnId="{0319C08F-F47F-48DF-B977-72069069E4B6}" type="sibTrans">
      <dgm:prSet/>
      <dgm:spPr/>
      <dgm:t>
        <a:bodyPr/>
        <a:p>
          <a:endParaRPr lang="zh-CN" altLang="en-US"/>
        </a:p>
      </dgm:t>
    </dgm:pt>
    <dgm:pt modelId="{FE78C9F4-E2EC-4037-A5F1-A783103E572C}" type="pres">
      <dgm:prSet presAssocID="{8FBED6FD-C4AC-4162-9861-65A9BC2688DC}" presName="linearFlow" presStyleCnt="0">
        <dgm:presLayoutVars>
          <dgm:dir/>
          <dgm:animLvl val="lvl"/>
          <dgm:resizeHandles val="exact"/>
        </dgm:presLayoutVars>
      </dgm:prSet>
      <dgm:spPr/>
      <dgm:t>
        <a:bodyPr/>
        <a:p>
          <a:endParaRPr lang="zh-CN" altLang="en-US"/>
        </a:p>
      </dgm:t>
    </dgm:pt>
    <dgm:pt modelId="{65FB7DDB-57F5-4B99-A560-D5CC832D260E}" type="pres">
      <dgm:prSet presAssocID="{9C618C3C-3379-4B62-9B1D-3BBD07B1F023}" presName="composite" presStyleCnt="0"/>
      <dgm:spPr/>
    </dgm:pt>
    <dgm:pt modelId="{BE493C8D-3EC3-4C3A-AC38-4D09E42D1F74}" type="pres">
      <dgm:prSet presAssocID="{9C618C3C-3379-4B62-9B1D-3BBD07B1F023}" presName="parTx" presStyleLbl="node1" presStyleIdx="0" presStyleCnt="3">
        <dgm:presLayoutVars>
          <dgm:chMax val="0"/>
          <dgm:chPref val="0"/>
          <dgm:bulletEnabled val="1"/>
        </dgm:presLayoutVars>
      </dgm:prSet>
      <dgm:spPr/>
      <dgm:t>
        <a:bodyPr/>
        <a:p>
          <a:endParaRPr lang="zh-CN" altLang="en-US"/>
        </a:p>
      </dgm:t>
    </dgm:pt>
    <dgm:pt modelId="{18446681-0789-4244-9BF7-5BAE82A05DA9}" type="pres">
      <dgm:prSet presAssocID="{9C618C3C-3379-4B62-9B1D-3BBD07B1F023}" presName="parSh" presStyleLbl="node1" presStyleIdx="0" presStyleCnt="3"/>
      <dgm:spPr/>
      <dgm:t>
        <a:bodyPr/>
        <a:p>
          <a:endParaRPr lang="zh-CN" altLang="en-US"/>
        </a:p>
      </dgm:t>
    </dgm:pt>
    <dgm:pt modelId="{E198373C-E82F-4F9E-ACC7-D64DD98AD51F}" type="pres">
      <dgm:prSet presAssocID="{9C618C3C-3379-4B62-9B1D-3BBD07B1F023}" presName="desTx" presStyleLbl="fgAcc1" presStyleIdx="0" presStyleCnt="3" custScaleY="99466">
        <dgm:presLayoutVars>
          <dgm:bulletEnabled val="1"/>
        </dgm:presLayoutVars>
      </dgm:prSet>
      <dgm:spPr/>
      <dgm:t>
        <a:bodyPr/>
        <a:p>
          <a:endParaRPr lang="zh-CN" altLang="en-US"/>
        </a:p>
      </dgm:t>
    </dgm:pt>
    <dgm:pt modelId="{45B7E9C6-E34D-45CA-BC2B-F2F99DA31B40}" type="pres">
      <dgm:prSet presAssocID="{7745C341-DCE7-45A0-81A1-0E655B80C88E}" presName="sibTrans" presStyleLbl="sibTrans2D1" presStyleIdx="0" presStyleCnt="2"/>
      <dgm:spPr/>
      <dgm:t>
        <a:bodyPr/>
        <a:p>
          <a:endParaRPr lang="zh-CN" altLang="en-US"/>
        </a:p>
      </dgm:t>
    </dgm:pt>
    <dgm:pt modelId="{0671A9DB-6267-4476-BD1C-94B37B4D5BB8}" type="pres">
      <dgm:prSet presAssocID="{7745C341-DCE7-45A0-81A1-0E655B80C88E}" presName="connTx" presStyleLbl="sibTrans2D1" presStyleIdx="0" presStyleCnt="2"/>
      <dgm:spPr/>
      <dgm:t>
        <a:bodyPr/>
        <a:p>
          <a:endParaRPr lang="zh-CN" altLang="en-US"/>
        </a:p>
      </dgm:t>
    </dgm:pt>
    <dgm:pt modelId="{0AA4DB5A-D2A0-427E-9E39-B32CC0334166}" type="pres">
      <dgm:prSet presAssocID="{6AA62E78-091D-41B2-BDBC-D757FAEC7DC5}" presName="composite" presStyleCnt="0"/>
      <dgm:spPr/>
    </dgm:pt>
    <dgm:pt modelId="{85A53C4C-E6EF-4BEC-9129-1BDB4611D257}" type="pres">
      <dgm:prSet presAssocID="{6AA62E78-091D-41B2-BDBC-D757FAEC7DC5}" presName="parTx" presStyleLbl="node1" presStyleIdx="0" presStyleCnt="3">
        <dgm:presLayoutVars>
          <dgm:chMax val="0"/>
          <dgm:chPref val="0"/>
          <dgm:bulletEnabled val="1"/>
        </dgm:presLayoutVars>
      </dgm:prSet>
      <dgm:spPr/>
      <dgm:t>
        <a:bodyPr/>
        <a:p>
          <a:endParaRPr lang="zh-CN" altLang="en-US"/>
        </a:p>
      </dgm:t>
    </dgm:pt>
    <dgm:pt modelId="{F466D536-BACA-49FE-BC43-86EC84F59CB0}" type="pres">
      <dgm:prSet presAssocID="{6AA62E78-091D-41B2-BDBC-D757FAEC7DC5}" presName="parSh" presStyleLbl="node1" presStyleIdx="1" presStyleCnt="3"/>
      <dgm:spPr/>
      <dgm:t>
        <a:bodyPr/>
        <a:p>
          <a:endParaRPr lang="zh-CN" altLang="en-US"/>
        </a:p>
      </dgm:t>
    </dgm:pt>
    <dgm:pt modelId="{7872A8B7-CB2C-4017-8372-BA32C8AF9751}" type="pres">
      <dgm:prSet presAssocID="{6AA62E78-091D-41B2-BDBC-D757FAEC7DC5}" presName="desTx" presStyleLbl="fgAcc1" presStyleIdx="1" presStyleCnt="3">
        <dgm:presLayoutVars>
          <dgm:bulletEnabled val="1"/>
        </dgm:presLayoutVars>
      </dgm:prSet>
      <dgm:spPr/>
      <dgm:t>
        <a:bodyPr/>
        <a:p>
          <a:endParaRPr lang="zh-CN" altLang="en-US"/>
        </a:p>
      </dgm:t>
    </dgm:pt>
    <dgm:pt modelId="{889F925C-6DD8-4BA1-86FC-15CD0FD8B1A3}" type="pres">
      <dgm:prSet presAssocID="{32013201-4842-4A70-AA39-F1EDEFDACE7C}" presName="sibTrans" presStyleLbl="sibTrans2D1" presStyleIdx="1" presStyleCnt="2"/>
      <dgm:spPr/>
      <dgm:t>
        <a:bodyPr/>
        <a:p>
          <a:endParaRPr lang="zh-CN" altLang="en-US"/>
        </a:p>
      </dgm:t>
    </dgm:pt>
    <dgm:pt modelId="{1E908869-4151-458B-942A-E311018AF3FD}" type="pres">
      <dgm:prSet presAssocID="{32013201-4842-4A70-AA39-F1EDEFDACE7C}" presName="connTx" presStyleLbl="sibTrans2D1" presStyleIdx="1" presStyleCnt="2"/>
      <dgm:spPr/>
      <dgm:t>
        <a:bodyPr/>
        <a:p>
          <a:endParaRPr lang="zh-CN" altLang="en-US"/>
        </a:p>
      </dgm:t>
    </dgm:pt>
    <dgm:pt modelId="{15992959-48A9-4D3D-91DE-120CA2F85205}" type="pres">
      <dgm:prSet presAssocID="{36922778-0D95-4379-BD5D-4EA56CC17190}" presName="composite" presStyleCnt="0"/>
      <dgm:spPr/>
    </dgm:pt>
    <dgm:pt modelId="{4FC0FC80-EE08-44D0-8A31-1F67BA5BB926}" type="pres">
      <dgm:prSet presAssocID="{36922778-0D95-4379-BD5D-4EA56CC17190}" presName="parTx" presStyleLbl="node1" presStyleIdx="1" presStyleCnt="3">
        <dgm:presLayoutVars>
          <dgm:chMax val="0"/>
          <dgm:chPref val="0"/>
          <dgm:bulletEnabled val="1"/>
        </dgm:presLayoutVars>
      </dgm:prSet>
      <dgm:spPr/>
      <dgm:t>
        <a:bodyPr/>
        <a:p>
          <a:endParaRPr lang="zh-CN" altLang="en-US"/>
        </a:p>
      </dgm:t>
    </dgm:pt>
    <dgm:pt modelId="{C749505E-AC07-4721-9DDB-D511EDFA04CA}" type="pres">
      <dgm:prSet presAssocID="{36922778-0D95-4379-BD5D-4EA56CC17190}" presName="parSh" presStyleLbl="node1" presStyleIdx="2" presStyleCnt="3"/>
      <dgm:spPr/>
      <dgm:t>
        <a:bodyPr/>
        <a:p>
          <a:endParaRPr lang="zh-CN" altLang="en-US"/>
        </a:p>
      </dgm:t>
    </dgm:pt>
    <dgm:pt modelId="{46660FB0-A92B-4BEB-BFAA-99B47C0C309B}" type="pres">
      <dgm:prSet presAssocID="{36922778-0D95-4379-BD5D-4EA56CC17190}" presName="desTx" presStyleLbl="fgAcc1" presStyleIdx="2" presStyleCnt="3">
        <dgm:presLayoutVars>
          <dgm:bulletEnabled val="1"/>
        </dgm:presLayoutVars>
      </dgm:prSet>
      <dgm:spPr/>
      <dgm:t>
        <a:bodyPr/>
        <a:p>
          <a:endParaRPr lang="zh-CN" altLang="en-US"/>
        </a:p>
      </dgm:t>
    </dgm:pt>
  </dgm:ptLst>
  <dgm:cxnLst>
    <dgm:cxn modelId="{DB757F80-AC19-4F28-A136-AA80670A0B49}" srcId="{6AA62E78-091D-41B2-BDBC-D757FAEC7DC5}" destId="{3E46E86A-FD2A-47D2-A2AA-AA2D8CC48B2D}" srcOrd="1" destOrd="0" parTransId="{10335345-AA59-4EA6-8E8B-F5C9C2CCEF80}" sibTransId="{DF6BD05F-0B07-458C-9ABB-17E248A2DA26}"/>
    <dgm:cxn modelId="{BECD17BE-E95E-4306-81D0-F10AF6B66657}" srcId="{9C618C3C-3379-4B62-9B1D-3BBD07B1F023}" destId="{24F8FD93-2522-4435-823A-A4E95FA623EF}" srcOrd="0" destOrd="0" parTransId="{61A65B6D-1B0F-4AEB-9B8A-48138AAB8EBC}" sibTransId="{D8639E63-E9BB-4403-92EA-E8BF3B82D7FC}"/>
    <dgm:cxn modelId="{334E59B4-7FA4-4B43-8527-CD39A26C461B}" type="presOf" srcId="{953CC6A1-DF42-4293-BF8F-2C4427A1AABF}" destId="{46660FB0-A92B-4BEB-BFAA-99B47C0C309B}" srcOrd="0" destOrd="5" presId="urn:microsoft.com/office/officeart/2005/8/layout/process3#1"/>
    <dgm:cxn modelId="{DF128AF9-FEE2-423E-AEE9-D179526CB9A5}" type="presOf" srcId="{C9ED745A-6FF8-4E8C-BA2F-B99143BC9EEA}" destId="{46660FB0-A92B-4BEB-BFAA-99B47C0C309B}" srcOrd="0" destOrd="7" presId="urn:microsoft.com/office/officeart/2005/8/layout/process3#1"/>
    <dgm:cxn modelId="{76BE09CE-6E95-4908-B469-2F9387EE45D7}" srcId="{6AA62E78-091D-41B2-BDBC-D757FAEC7DC5}" destId="{372A06BB-F3CE-4AED-A15B-20FFA23386DC}" srcOrd="7" destOrd="0" parTransId="{5C5D6C0A-BDE1-4A1E-B4EC-52374A5D93CE}" sibTransId="{D6858E06-9667-4DD4-A9C8-BCF6F6A238BD}"/>
    <dgm:cxn modelId="{CBCA0F6E-6CFD-468A-9A96-2CE8F29AB8BF}" srcId="{8FBED6FD-C4AC-4162-9861-65A9BC2688DC}" destId="{6AA62E78-091D-41B2-BDBC-D757FAEC7DC5}" srcOrd="1" destOrd="0" parTransId="{9DBAA050-C0E0-4A44-9F4C-ACE92B8A90D1}" sibTransId="{32013201-4842-4A70-AA39-F1EDEFDACE7C}"/>
    <dgm:cxn modelId="{8A89174D-1693-4EE0-9FBF-8651E0B7AD4F}" type="presOf" srcId="{7745C341-DCE7-45A0-81A1-0E655B80C88E}" destId="{0671A9DB-6267-4476-BD1C-94B37B4D5BB8}" srcOrd="1" destOrd="0" presId="urn:microsoft.com/office/officeart/2005/8/layout/process3#1"/>
    <dgm:cxn modelId="{7380B551-315C-40C3-ADF5-611F52F88B5D}" type="presOf" srcId="{C7BA32E9-769B-48CD-A557-571B9E8F1FA3}" destId="{7872A8B7-CB2C-4017-8372-BA32C8AF9751}" srcOrd="0" destOrd="5" presId="urn:microsoft.com/office/officeart/2005/8/layout/process3#1"/>
    <dgm:cxn modelId="{F93A7504-5305-4FDA-9F05-FB98FCCC613A}" type="presOf" srcId="{8FBED6FD-C4AC-4162-9861-65A9BC2688DC}" destId="{FE78C9F4-E2EC-4037-A5F1-A783103E572C}" srcOrd="0" destOrd="0" presId="urn:microsoft.com/office/officeart/2005/8/layout/process3#1"/>
    <dgm:cxn modelId="{819A7781-54DD-44A1-A639-9F76B77C459E}" type="presOf" srcId="{32013201-4842-4A70-AA39-F1EDEFDACE7C}" destId="{1E908869-4151-458B-942A-E311018AF3FD}" srcOrd="1" destOrd="0" presId="urn:microsoft.com/office/officeart/2005/8/layout/process3#1"/>
    <dgm:cxn modelId="{BCA8770A-AD9B-49EE-A451-8BDCD7CD22CD}" srcId="{36922778-0D95-4379-BD5D-4EA56CC17190}" destId="{14CE206C-E3B8-4D17-9966-33E471624AA1}" srcOrd="3" destOrd="0" parTransId="{BE3BB960-928F-4ADF-A7F0-66820E4D6E6D}" sibTransId="{0543530E-BE83-4DA1-A630-FD352DFA9F80}"/>
    <dgm:cxn modelId="{A9C92586-1A6B-440B-9531-C42F97E805A4}" srcId="{9C618C3C-3379-4B62-9B1D-3BBD07B1F023}" destId="{415634FE-4379-4DC4-9EBE-CFD43BE3088E}" srcOrd="4" destOrd="0" parTransId="{6F53C0F3-E566-48C4-AF86-57F4D4871825}" sibTransId="{FAC0412E-EB8D-488F-8559-6A16E1171CB9}"/>
    <dgm:cxn modelId="{9EA9DCEC-5236-40C0-9C75-99AD2FF804A0}" srcId="{36922778-0D95-4379-BD5D-4EA56CC17190}" destId="{49E78A16-EFAC-40E4-9D42-6CE5B6A41028}" srcOrd="4" destOrd="0" parTransId="{A9C8D51B-EF10-44EA-864C-BC12B83BBE53}" sibTransId="{5EE8FFC2-E6F0-49C4-A908-E982D8BF9D66}"/>
    <dgm:cxn modelId="{B0C4F4A0-8E01-4543-BB88-78AF8B9AAF70}" srcId="{9C618C3C-3379-4B62-9B1D-3BBD07B1F023}" destId="{CD50CAA0-1962-4545-8300-4B1C9E5417C3}" srcOrd="6" destOrd="0" parTransId="{9D4BB8BF-21C6-42C8-81E5-FD4A4B35F7C0}" sibTransId="{4F3B3E69-46B2-4378-81EE-5C2B5424B0CA}"/>
    <dgm:cxn modelId="{5D5AF2AE-DA26-4862-AA54-A7572C82D7CC}" type="presOf" srcId="{36922778-0D95-4379-BD5D-4EA56CC17190}" destId="{C749505E-AC07-4721-9DDB-D511EDFA04CA}" srcOrd="1" destOrd="0" presId="urn:microsoft.com/office/officeart/2005/8/layout/process3#1"/>
    <dgm:cxn modelId="{E0E30345-D1B8-436A-96F5-7FEBDB3CF2C6}" type="presOf" srcId="{C2008A2E-DD2B-46A7-8E0E-1AC5C6B1E8AF}" destId="{E198373C-E82F-4F9E-ACC7-D64DD98AD51F}" srcOrd="0" destOrd="2" presId="urn:microsoft.com/office/officeart/2005/8/layout/process3#1"/>
    <dgm:cxn modelId="{84E11CD5-BE77-42E1-B5AA-B7B15236DF32}" srcId="{9C618C3C-3379-4B62-9B1D-3BBD07B1F023}" destId="{9335CA32-A6B2-4064-AF71-413237252F3B}" srcOrd="3" destOrd="0" parTransId="{4978A2F7-601F-481D-B49C-CEC30B5EB75E}" sibTransId="{DF411E38-DB60-4C3B-8ADD-01E159990A80}"/>
    <dgm:cxn modelId="{E63A55C4-8662-423D-80CE-9F58DBEC2CB8}" type="presOf" srcId="{6D81A0F4-E4FF-445F-B1F8-E9F7EC263DBA}" destId="{7872A8B7-CB2C-4017-8372-BA32C8AF9751}" srcOrd="0" destOrd="2" presId="urn:microsoft.com/office/officeart/2005/8/layout/process3#1"/>
    <dgm:cxn modelId="{E110098E-B90F-4450-8229-B1183C6F3411}" type="presOf" srcId="{5FAEA586-FA90-4A4A-965D-03731FEF70AC}" destId="{7872A8B7-CB2C-4017-8372-BA32C8AF9751}" srcOrd="0" destOrd="6" presId="urn:microsoft.com/office/officeart/2005/8/layout/process3#1"/>
    <dgm:cxn modelId="{137AAD27-D272-47B9-9363-9B9C4E13A8D5}" srcId="{36922778-0D95-4379-BD5D-4EA56CC17190}" destId="{B804B909-6BB5-475E-990F-82A941382F23}" srcOrd="1" destOrd="0" parTransId="{43E29832-4611-4735-BF7D-CC3CB3DE0815}" sibTransId="{FD03025E-B040-476A-8141-45EFDF7AF2C4}"/>
    <dgm:cxn modelId="{7D5A855A-E768-4A10-9CE7-B2E044EF6CE0}" type="presOf" srcId="{7745C341-DCE7-45A0-81A1-0E655B80C88E}" destId="{45B7E9C6-E34D-45CA-BC2B-F2F99DA31B40}" srcOrd="0" destOrd="0" presId="urn:microsoft.com/office/officeart/2005/8/layout/process3#1"/>
    <dgm:cxn modelId="{F380738A-A4FA-4CAD-B7FF-56D86028C60B}" type="presOf" srcId="{32013201-4842-4A70-AA39-F1EDEFDACE7C}" destId="{889F925C-6DD8-4BA1-86FC-15CD0FD8B1A3}" srcOrd="0" destOrd="0" presId="urn:microsoft.com/office/officeart/2005/8/layout/process3#1"/>
    <dgm:cxn modelId="{2D9A440D-6A1C-4900-A84B-255785CDF2F1}" srcId="{36922778-0D95-4379-BD5D-4EA56CC17190}" destId="{627DAD42-3D0D-4DAD-BEDF-17269DAE5233}" srcOrd="2" destOrd="0" parTransId="{6C820B18-59F4-4D2B-AD86-4EA155FC0478}" sibTransId="{7478D241-6A6E-4758-959A-D6B6FE9D0A9B}"/>
    <dgm:cxn modelId="{CEB28835-F97E-4503-A13E-FD954409E37E}" type="presOf" srcId="{24F8FD93-2522-4435-823A-A4E95FA623EF}" destId="{E198373C-E82F-4F9E-ACC7-D64DD98AD51F}" srcOrd="0" destOrd="0" presId="urn:microsoft.com/office/officeart/2005/8/layout/process3#1"/>
    <dgm:cxn modelId="{FD7DD270-09FA-4FF0-B91A-781251B4BBAD}" type="presOf" srcId="{36922778-0D95-4379-BD5D-4EA56CC17190}" destId="{4FC0FC80-EE08-44D0-8A31-1F67BA5BB926}" srcOrd="0" destOrd="0" presId="urn:microsoft.com/office/officeart/2005/8/layout/process3#1"/>
    <dgm:cxn modelId="{630FFEB1-4FE8-43C7-96E0-53D640056790}" type="presOf" srcId="{9335CA32-A6B2-4064-AF71-413237252F3B}" destId="{E198373C-E82F-4F9E-ACC7-D64DD98AD51F}" srcOrd="0" destOrd="3" presId="urn:microsoft.com/office/officeart/2005/8/layout/process3#1"/>
    <dgm:cxn modelId="{7CB76992-CF92-47B7-AAE9-0D41293D3B0B}" srcId="{6AA62E78-091D-41B2-BDBC-D757FAEC7DC5}" destId="{5FAEA586-FA90-4A4A-965D-03731FEF70AC}" srcOrd="6" destOrd="0" parTransId="{1DC5BB96-4AA2-4DBD-8FE9-280BBBBCDF9C}" sibTransId="{C8B8C799-0221-4D86-9BF9-A1997D0CE2F6}"/>
    <dgm:cxn modelId="{1B3CC268-7293-4577-B096-4C8D438390D7}" type="presOf" srcId="{DAB4E9AB-0722-4F0E-8D86-E9B0207F8111}" destId="{46660FB0-A92B-4BEB-BFAA-99B47C0C309B}" srcOrd="0" destOrd="8" presId="urn:microsoft.com/office/officeart/2005/8/layout/process3#1"/>
    <dgm:cxn modelId="{9BF28F30-3B73-47A6-B3BB-011E0A2BD075}" type="presOf" srcId="{45F264EB-61C2-4F4C-80AC-0132812B0606}" destId="{46660FB0-A92B-4BEB-BFAA-99B47C0C309B}" srcOrd="0" destOrd="6" presId="urn:microsoft.com/office/officeart/2005/8/layout/process3#1"/>
    <dgm:cxn modelId="{A5D1244D-1AAE-4D25-ACA6-FD0934E7819F}" srcId="{9C618C3C-3379-4B62-9B1D-3BBD07B1F023}" destId="{57A3E8B7-AFFF-49EE-BD6A-DA4A340BCFC3}" srcOrd="7" destOrd="0" parTransId="{DB91C0B0-6D66-4658-BF00-324BD647E512}" sibTransId="{3589AB0C-82F7-4F80-B992-3C304C97A591}"/>
    <dgm:cxn modelId="{33D0D402-4735-4A38-99BB-46B5660857E5}" srcId="{6AA62E78-091D-41B2-BDBC-D757FAEC7DC5}" destId="{ED5B80E5-A5B9-4FE3-8926-9945228CD0CE}" srcOrd="3" destOrd="0" parTransId="{E942975F-30F9-458E-84E5-79A889FCE9CF}" sibTransId="{CD7BCEC7-794E-4DE4-9177-1AB7268FE3BB}"/>
    <dgm:cxn modelId="{D3CD1954-5224-4970-9199-7015A2BC0473}" srcId="{8FBED6FD-C4AC-4162-9861-65A9BC2688DC}" destId="{9C618C3C-3379-4B62-9B1D-3BBD07B1F023}" srcOrd="0" destOrd="0" parTransId="{AA2FC6FE-D430-4C96-A10C-493A1E0E2C4B}" sibTransId="{7745C341-DCE7-45A0-81A1-0E655B80C88E}"/>
    <dgm:cxn modelId="{3F829312-B2BE-421A-94CC-80A1AA9B95BA}" type="presOf" srcId="{49E78A16-EFAC-40E4-9D42-6CE5B6A41028}" destId="{46660FB0-A92B-4BEB-BFAA-99B47C0C309B}" srcOrd="0" destOrd="4" presId="urn:microsoft.com/office/officeart/2005/8/layout/process3#1"/>
    <dgm:cxn modelId="{99C6285F-B89A-4B5B-806D-72A8E739F839}" srcId="{9C618C3C-3379-4B62-9B1D-3BBD07B1F023}" destId="{C2008A2E-DD2B-46A7-8E0E-1AC5C6B1E8AF}" srcOrd="2" destOrd="0" parTransId="{83E5E927-CF7B-4485-A440-14298C1E2CAA}" sibTransId="{378F13CD-7AE4-4EC5-83CF-D7555F8A64F8}"/>
    <dgm:cxn modelId="{F33F71C5-DC91-451F-86ED-9B40EA66CDD3}" type="presOf" srcId="{CD50CAA0-1962-4545-8300-4B1C9E5417C3}" destId="{E198373C-E82F-4F9E-ACC7-D64DD98AD51F}" srcOrd="0" destOrd="6" presId="urn:microsoft.com/office/officeart/2005/8/layout/process3#1"/>
    <dgm:cxn modelId="{0CEB0303-F13D-465E-A5B5-8761764310D4}" srcId="{45F264EB-61C2-4F4C-80AC-0132812B0606}" destId="{DAB4E9AB-0722-4F0E-8D86-E9B0207F8111}" srcOrd="1" destOrd="0" parTransId="{8E539348-6A8F-4966-908B-2553AB98A3EF}" sibTransId="{9EA7A2EA-A8C5-48DD-AF5F-678728F5FBD4}"/>
    <dgm:cxn modelId="{54DC5CE9-18C5-4554-8472-A58E70555996}" type="presOf" srcId="{8A7D69F1-F8D8-4E00-B698-C78A240E07D7}" destId="{46660FB0-A92B-4BEB-BFAA-99B47C0C309B}" srcOrd="0" destOrd="0" presId="urn:microsoft.com/office/officeart/2005/8/layout/process3#1"/>
    <dgm:cxn modelId="{97476A70-BB98-4046-A5DA-413C9D24C2BD}" type="presOf" srcId="{9C618C3C-3379-4B62-9B1D-3BBD07B1F023}" destId="{BE493C8D-3EC3-4C3A-AC38-4D09E42D1F74}" srcOrd="0" destOrd="0" presId="urn:microsoft.com/office/officeart/2005/8/layout/process3#1"/>
    <dgm:cxn modelId="{C5575C42-2DE9-40EB-B7F8-4EFB173331AA}" type="presOf" srcId="{70D59B6B-B09C-428A-AF60-E6E8C74A05F1}" destId="{7872A8B7-CB2C-4017-8372-BA32C8AF9751}" srcOrd="0" destOrd="0" presId="urn:microsoft.com/office/officeart/2005/8/layout/process3#1"/>
    <dgm:cxn modelId="{A9C34C5F-AB7E-402B-9D5C-523D73424D1A}" type="presOf" srcId="{372A06BB-F3CE-4AED-A15B-20FFA23386DC}" destId="{7872A8B7-CB2C-4017-8372-BA32C8AF9751}" srcOrd="0" destOrd="7" presId="urn:microsoft.com/office/officeart/2005/8/layout/process3#1"/>
    <dgm:cxn modelId="{937EFF7B-3A87-4020-887F-75CB57AD6C51}" srcId="{9C618C3C-3379-4B62-9B1D-3BBD07B1F023}" destId="{F743AC36-551F-4E0C-B047-813D21DC47BC}" srcOrd="5" destOrd="0" parTransId="{D0023A4C-9B18-457B-951B-DE9BC6370FAF}" sibTransId="{4131FB60-F566-45B3-81AE-7EEEC8B516C3}"/>
    <dgm:cxn modelId="{739672F8-2174-4618-AAFD-9EF11730E8B6}" type="presOf" srcId="{14CE206C-E3B8-4D17-9966-33E471624AA1}" destId="{46660FB0-A92B-4BEB-BFAA-99B47C0C309B}" srcOrd="0" destOrd="3" presId="urn:microsoft.com/office/officeart/2005/8/layout/process3#1"/>
    <dgm:cxn modelId="{F05C93BF-9FDF-47A4-8829-ACE746F09509}" type="presOf" srcId="{F743AC36-551F-4E0C-B047-813D21DC47BC}" destId="{E198373C-E82F-4F9E-ACC7-D64DD98AD51F}" srcOrd="0" destOrd="5" presId="urn:microsoft.com/office/officeart/2005/8/layout/process3#1"/>
    <dgm:cxn modelId="{F00BC39F-07C0-4D3B-ACD6-62CC2EB3441D}" srcId="{6AA62E78-091D-41B2-BDBC-D757FAEC7DC5}" destId="{70D59B6B-B09C-428A-AF60-E6E8C74A05F1}" srcOrd="0" destOrd="0" parTransId="{5F6B131C-2F81-45E8-87EF-3A1FF0C7694D}" sibTransId="{FF6F5C81-55D6-45A2-8E0A-01D060AE7372}"/>
    <dgm:cxn modelId="{EE266B73-6DE7-4F6D-AAC3-B0E6744E3E51}" srcId="{45F264EB-61C2-4F4C-80AC-0132812B0606}" destId="{C9ED745A-6FF8-4E8C-BA2F-B99143BC9EEA}" srcOrd="0" destOrd="0" parTransId="{D7C70CBF-497F-4C37-B7CB-2BF6C50921F7}" sibTransId="{BF972178-3C52-4049-B937-D754D890FC18}"/>
    <dgm:cxn modelId="{0319C08F-F47F-48DF-B977-72069069E4B6}" srcId="{36922778-0D95-4379-BD5D-4EA56CC17190}" destId="{0B406C9A-508C-4B5E-A9C1-71A4BC679863}" srcOrd="7" destOrd="0" parTransId="{716F7A95-97E6-4DCA-B0D6-B9B89241AEC8}" sibTransId="{C6F3B3C3-772C-4D19-88CF-54F64F96D828}"/>
    <dgm:cxn modelId="{0F5DB27D-C433-4DC0-8EA7-2596132398CE}" type="presOf" srcId="{3E46E86A-FD2A-47D2-A2AA-AA2D8CC48B2D}" destId="{7872A8B7-CB2C-4017-8372-BA32C8AF9751}" srcOrd="0" destOrd="1" presId="urn:microsoft.com/office/officeart/2005/8/layout/process3#1"/>
    <dgm:cxn modelId="{8850397A-9C00-41AD-872B-42045243FE17}" srcId="{9C618C3C-3379-4B62-9B1D-3BBD07B1F023}" destId="{A604FC5F-BE3C-4349-810E-EE69D316313D}" srcOrd="1" destOrd="0" parTransId="{A3BAE379-BD03-4164-9550-FB414CF5F15B}" sibTransId="{37D1EEC6-3ECB-4D9C-9812-CDCF34B056DD}"/>
    <dgm:cxn modelId="{BD150553-0C34-41FD-A931-9FAB9637D900}" type="presOf" srcId="{6AA62E78-091D-41B2-BDBC-D757FAEC7DC5}" destId="{F466D536-BACA-49FE-BC43-86EC84F59CB0}" srcOrd="1" destOrd="0" presId="urn:microsoft.com/office/officeart/2005/8/layout/process3#1"/>
    <dgm:cxn modelId="{C164FB80-7E0C-4213-89F0-54E590061F23}" srcId="{6AA62E78-091D-41B2-BDBC-D757FAEC7DC5}" destId="{6D81A0F4-E4FF-445F-B1F8-E9F7EC263DBA}" srcOrd="2" destOrd="0" parTransId="{B574C725-5D9A-4FD5-A3B0-DF4961340377}" sibTransId="{A3F2C5EF-EFC7-40E9-852F-3DF4743528D1}"/>
    <dgm:cxn modelId="{45D6ED0B-51B7-4238-9CD9-E752164E7C29}" srcId="{36922778-0D95-4379-BD5D-4EA56CC17190}" destId="{45F264EB-61C2-4F4C-80AC-0132812B0606}" srcOrd="6" destOrd="0" parTransId="{D820DC19-EA43-4B21-A515-CBD2C0BAE1FC}" sibTransId="{F9736359-A13B-468B-B020-3C1B25553A20}"/>
    <dgm:cxn modelId="{5C975131-52D6-4BFC-9D2B-6B39C48C2B83}" type="presOf" srcId="{0B406C9A-508C-4B5E-A9C1-71A4BC679863}" destId="{46660FB0-A92B-4BEB-BFAA-99B47C0C309B}" srcOrd="0" destOrd="9" presId="urn:microsoft.com/office/officeart/2005/8/layout/process3#1"/>
    <dgm:cxn modelId="{7F248A80-C681-4408-B999-172EA64307D9}" type="presOf" srcId="{B804B909-6BB5-475E-990F-82A941382F23}" destId="{46660FB0-A92B-4BEB-BFAA-99B47C0C309B}" srcOrd="0" destOrd="1" presId="urn:microsoft.com/office/officeart/2005/8/layout/process3#1"/>
    <dgm:cxn modelId="{5EEFDB83-A220-4F4D-9B31-AD14A979687F}" srcId="{8FBED6FD-C4AC-4162-9861-65A9BC2688DC}" destId="{36922778-0D95-4379-BD5D-4EA56CC17190}" srcOrd="2" destOrd="0" parTransId="{53FFEE16-EE31-49F0-8937-B314D9E6CE36}" sibTransId="{6FBF5E61-3B88-4647-AD35-28BF1971A5D9}"/>
    <dgm:cxn modelId="{163DD09A-1E49-435D-B0C2-7535422EB85B}" srcId="{6AA62E78-091D-41B2-BDBC-D757FAEC7DC5}" destId="{C7BA32E9-769B-48CD-A557-571B9E8F1FA3}" srcOrd="5" destOrd="0" parTransId="{E89C910C-EDEC-4F46-BD14-ACCEB8418315}" sibTransId="{D174705A-337A-4A6C-8B15-8A422283B135}"/>
    <dgm:cxn modelId="{AD9FE141-F53D-4256-BEC3-3BA9AEAA1AB9}" type="presOf" srcId="{6AA62E78-091D-41B2-BDBC-D757FAEC7DC5}" destId="{85A53C4C-E6EF-4BEC-9129-1BDB4611D257}" srcOrd="0" destOrd="0" presId="urn:microsoft.com/office/officeart/2005/8/layout/process3#1"/>
    <dgm:cxn modelId="{29C8D373-7979-4132-B5BB-F6C1F499F7B9}" type="presOf" srcId="{9C618C3C-3379-4B62-9B1D-3BBD07B1F023}" destId="{18446681-0789-4244-9BF7-5BAE82A05DA9}" srcOrd="1" destOrd="0" presId="urn:microsoft.com/office/officeart/2005/8/layout/process3#1"/>
    <dgm:cxn modelId="{7253EF69-0212-4F90-9447-FDB97D362243}" srcId="{36922778-0D95-4379-BD5D-4EA56CC17190}" destId="{953CC6A1-DF42-4293-BF8F-2C4427A1AABF}" srcOrd="5" destOrd="0" parTransId="{5BC4EC78-737D-424B-A725-7C64147A3A12}" sibTransId="{FFAF26B0-CFCC-4103-A4D7-39A5CF8B8E15}"/>
    <dgm:cxn modelId="{5A72AF91-B34D-4E1B-9457-75C7B242533B}" type="presOf" srcId="{415634FE-4379-4DC4-9EBE-CFD43BE3088E}" destId="{E198373C-E82F-4F9E-ACC7-D64DD98AD51F}" srcOrd="0" destOrd="4" presId="urn:microsoft.com/office/officeart/2005/8/layout/process3#1"/>
    <dgm:cxn modelId="{9F94E3AF-471C-47B8-9908-B394B6DB18C4}" type="presOf" srcId="{ED5B80E5-A5B9-4FE3-8926-9945228CD0CE}" destId="{7872A8B7-CB2C-4017-8372-BA32C8AF9751}" srcOrd="0" destOrd="3" presId="urn:microsoft.com/office/officeart/2005/8/layout/process3#1"/>
    <dgm:cxn modelId="{B668E632-73D6-46E1-BC89-67A9DAB6A27F}" srcId="{6AA62E78-091D-41B2-BDBC-D757FAEC7DC5}" destId="{8612BFA1-CD8F-444C-9C1A-7CFA3ACF03DA}" srcOrd="4" destOrd="0" parTransId="{2C5A0602-1DBD-4ECA-8C9E-9FAB8A0ABEFD}" sibTransId="{B7B4C821-8F43-4162-A164-2FD613C86098}"/>
    <dgm:cxn modelId="{8049396A-495D-4A27-9F81-268DCDBBDAE3}" type="presOf" srcId="{8612BFA1-CD8F-444C-9C1A-7CFA3ACF03DA}" destId="{7872A8B7-CB2C-4017-8372-BA32C8AF9751}" srcOrd="0" destOrd="4" presId="urn:microsoft.com/office/officeart/2005/8/layout/process3#1"/>
    <dgm:cxn modelId="{BE91A0CA-AC95-4956-B8CD-D9E4A3A2653D}" srcId="{36922778-0D95-4379-BD5D-4EA56CC17190}" destId="{8A7D69F1-F8D8-4E00-B698-C78A240E07D7}" srcOrd="0" destOrd="0" parTransId="{C9A6DDFD-E2FC-4E4F-A7AD-1ECDAA45E322}" sibTransId="{FED611F3-6AB0-42B7-8D66-9C4ED6DA1175}"/>
    <dgm:cxn modelId="{1A5C137E-67A1-4AA0-A59C-D7B88E77FC0C}" type="presOf" srcId="{57A3E8B7-AFFF-49EE-BD6A-DA4A340BCFC3}" destId="{E198373C-E82F-4F9E-ACC7-D64DD98AD51F}" srcOrd="0" destOrd="7" presId="urn:microsoft.com/office/officeart/2005/8/layout/process3#1"/>
    <dgm:cxn modelId="{B728A0AA-BA74-4F72-B801-A32B73ED3733}" type="presOf" srcId="{A604FC5F-BE3C-4349-810E-EE69D316313D}" destId="{E198373C-E82F-4F9E-ACC7-D64DD98AD51F}" srcOrd="0" destOrd="1" presId="urn:microsoft.com/office/officeart/2005/8/layout/process3#1"/>
    <dgm:cxn modelId="{D7B857BA-F1A2-4D27-A98B-16475E6FEA40}" type="presOf" srcId="{627DAD42-3D0D-4DAD-BEDF-17269DAE5233}" destId="{46660FB0-A92B-4BEB-BFAA-99B47C0C309B}" srcOrd="0" destOrd="2" presId="urn:microsoft.com/office/officeart/2005/8/layout/process3#1"/>
    <dgm:cxn modelId="{F6C9F908-9C2D-46FB-9742-6B8EA836FD98}" type="presParOf" srcId="{FE78C9F4-E2EC-4037-A5F1-A783103E572C}" destId="{65FB7DDB-57F5-4B99-A560-D5CC832D260E}" srcOrd="0" destOrd="0" presId="urn:microsoft.com/office/officeart/2005/8/layout/process3#1"/>
    <dgm:cxn modelId="{4BEDBBE3-BDF8-493D-BF6E-2795546726EA}" type="presParOf" srcId="{65FB7DDB-57F5-4B99-A560-D5CC832D260E}" destId="{BE493C8D-3EC3-4C3A-AC38-4D09E42D1F74}" srcOrd="0" destOrd="0" presId="urn:microsoft.com/office/officeart/2005/8/layout/process3#1"/>
    <dgm:cxn modelId="{DCA48B5A-FB57-4B60-95E0-E3699E61D308}" type="presParOf" srcId="{65FB7DDB-57F5-4B99-A560-D5CC832D260E}" destId="{18446681-0789-4244-9BF7-5BAE82A05DA9}" srcOrd="1" destOrd="0" presId="urn:microsoft.com/office/officeart/2005/8/layout/process3#1"/>
    <dgm:cxn modelId="{644C9C2B-1262-4445-814D-32B0BB27213A}" type="presParOf" srcId="{65FB7DDB-57F5-4B99-A560-D5CC832D260E}" destId="{E198373C-E82F-4F9E-ACC7-D64DD98AD51F}" srcOrd="2" destOrd="0" presId="urn:microsoft.com/office/officeart/2005/8/layout/process3#1"/>
    <dgm:cxn modelId="{E994C5E9-A677-4930-B28E-BE2D13DEE20A}" type="presParOf" srcId="{FE78C9F4-E2EC-4037-A5F1-A783103E572C}" destId="{45B7E9C6-E34D-45CA-BC2B-F2F99DA31B40}" srcOrd="1" destOrd="0" presId="urn:microsoft.com/office/officeart/2005/8/layout/process3#1"/>
    <dgm:cxn modelId="{9764376B-A17D-4A83-9F3F-FBED56D83463}" type="presParOf" srcId="{45B7E9C6-E34D-45CA-BC2B-F2F99DA31B40}" destId="{0671A9DB-6267-4476-BD1C-94B37B4D5BB8}" srcOrd="0" destOrd="0" presId="urn:microsoft.com/office/officeart/2005/8/layout/process3#1"/>
    <dgm:cxn modelId="{0D27EC2E-47B9-405D-85EC-F2DC039CD9B2}" type="presParOf" srcId="{FE78C9F4-E2EC-4037-A5F1-A783103E572C}" destId="{0AA4DB5A-D2A0-427E-9E39-B32CC0334166}" srcOrd="2" destOrd="0" presId="urn:microsoft.com/office/officeart/2005/8/layout/process3#1"/>
    <dgm:cxn modelId="{E4D1F2E1-8D12-4549-A210-A61CB1D3E381}" type="presParOf" srcId="{0AA4DB5A-D2A0-427E-9E39-B32CC0334166}" destId="{85A53C4C-E6EF-4BEC-9129-1BDB4611D257}" srcOrd="0" destOrd="0" presId="urn:microsoft.com/office/officeart/2005/8/layout/process3#1"/>
    <dgm:cxn modelId="{85AE613F-4125-4249-992A-AC66A3F1A629}" type="presParOf" srcId="{0AA4DB5A-D2A0-427E-9E39-B32CC0334166}" destId="{F466D536-BACA-49FE-BC43-86EC84F59CB0}" srcOrd="1" destOrd="0" presId="urn:microsoft.com/office/officeart/2005/8/layout/process3#1"/>
    <dgm:cxn modelId="{D89AA217-6D1D-47E1-9CD4-5870647DBD18}" type="presParOf" srcId="{0AA4DB5A-D2A0-427E-9E39-B32CC0334166}" destId="{7872A8B7-CB2C-4017-8372-BA32C8AF9751}" srcOrd="2" destOrd="0" presId="urn:microsoft.com/office/officeart/2005/8/layout/process3#1"/>
    <dgm:cxn modelId="{35487075-F89B-497E-A722-CB2F8F07FC4D}" type="presParOf" srcId="{FE78C9F4-E2EC-4037-A5F1-A783103E572C}" destId="{889F925C-6DD8-4BA1-86FC-15CD0FD8B1A3}" srcOrd="3" destOrd="0" presId="urn:microsoft.com/office/officeart/2005/8/layout/process3#1"/>
    <dgm:cxn modelId="{6680649F-8357-4D08-93A5-807C48B98249}" type="presParOf" srcId="{889F925C-6DD8-4BA1-86FC-15CD0FD8B1A3}" destId="{1E908869-4151-458B-942A-E311018AF3FD}" srcOrd="0" destOrd="0" presId="urn:microsoft.com/office/officeart/2005/8/layout/process3#1"/>
    <dgm:cxn modelId="{949BF06C-725E-4336-8641-D55388B63F61}" type="presParOf" srcId="{FE78C9F4-E2EC-4037-A5F1-A783103E572C}" destId="{15992959-48A9-4D3D-91DE-120CA2F85205}" srcOrd="4" destOrd="0" presId="urn:microsoft.com/office/officeart/2005/8/layout/process3#1"/>
    <dgm:cxn modelId="{6451E001-3C2D-4DB7-9397-4E53EC00653D}" type="presParOf" srcId="{15992959-48A9-4D3D-91DE-120CA2F85205}" destId="{4FC0FC80-EE08-44D0-8A31-1F67BA5BB926}" srcOrd="0" destOrd="0" presId="urn:microsoft.com/office/officeart/2005/8/layout/process3#1"/>
    <dgm:cxn modelId="{39395CDA-6695-4B06-8527-05867D64A158}" type="presParOf" srcId="{15992959-48A9-4D3D-91DE-120CA2F85205}" destId="{C749505E-AC07-4721-9DDB-D511EDFA04CA}" srcOrd="1" destOrd="0" presId="urn:microsoft.com/office/officeart/2005/8/layout/process3#1"/>
    <dgm:cxn modelId="{F2851F48-0C8C-4267-B661-ADA8FC176E78}" type="presParOf" srcId="{15992959-48A9-4D3D-91DE-120CA2F85205}" destId="{46660FB0-A92B-4BEB-BFAA-99B47C0C309B}" srcOrd="2" destOrd="0" presId="urn:microsoft.com/office/officeart/2005/8/layout/process3#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434965" cy="1732915"/>
        <a:chOff x="0" y="0"/>
        <a:chExt cx="5434965" cy="1732915"/>
      </a:xfrm>
    </dsp:grpSpPr>
    <dsp:sp modelId="{18446681-0789-4244-9BF7-5BAE82A05DA9}">
      <dsp:nvSpPr>
        <dsp:cNvPr id="4" name="圆角矩形 3"/>
        <dsp:cNvSpPr/>
      </dsp:nvSpPr>
      <dsp:spPr bwMode="white">
        <a:xfrm>
          <a:off x="0" y="66205"/>
          <a:ext cx="1230301" cy="302400"/>
        </a:xfrm>
        <a:prstGeom prst="roundRect">
          <a:avLst>
            <a:gd name="adj" fmla="val 10000"/>
          </a:avLst>
        </a:prstGeom>
        <a:solidFill>
          <a:srgbClr val="C72519"/>
        </a:solidFill>
      </dsp:spPr>
      <dsp:style>
        <a:lnRef idx="2">
          <a:schemeClr val="lt1"/>
        </a:lnRef>
        <a:fillRef idx="1">
          <a:schemeClr val="accent2"/>
        </a:fillRef>
        <a:effectRef idx="0">
          <a:scrgbClr r="0" g="0" b="0"/>
        </a:effectRef>
        <a:fontRef idx="minor">
          <a:schemeClr val="lt1"/>
        </a:fontRef>
      </dsp:style>
      <dsp:txXfrm>
        <a:off x="0" y="66205"/>
        <a:ext cx="1230301" cy="302400"/>
      </dsp:txXfrm>
    </dsp:sp>
    <dsp:sp modelId="{E198373C-E82F-4F9E-ACC7-D64DD98AD51F}">
      <dsp:nvSpPr>
        <dsp:cNvPr id="5" name="圆角矩形 4"/>
        <dsp:cNvSpPr/>
      </dsp:nvSpPr>
      <dsp:spPr bwMode="white">
        <a:xfrm>
          <a:off x="251989" y="267805"/>
          <a:ext cx="1230301" cy="1398905"/>
        </a:xfrm>
        <a:prstGeom prst="roundRect">
          <a:avLst>
            <a:gd name="adj" fmla="val 10000"/>
          </a:avLst>
        </a:prstGeom>
      </dsp:spPr>
      <dsp:style>
        <a:lnRef idx="2">
          <a:schemeClr val="accent2"/>
        </a:lnRef>
        <a:fillRef idx="1">
          <a:schemeClr val="lt1">
            <a:alpha val="90000"/>
          </a:schemeClr>
        </a:fillRef>
        <a:effectRef idx="0">
          <a:scrgbClr r="0" g="0" b="0"/>
        </a:effectRef>
        <a:fontRef idx="minor"/>
      </dsp:style>
      <dsp:txBody>
        <a:bodyPr vert="horz" wrap="square" lIns="49784" tIns="49784" rIns="49784" bIns="49784" anchor="t"/>
        <a:lstStyle>
          <a:lvl1pPr algn="l">
            <a:defRPr sz="700"/>
          </a:lvl1pPr>
          <a:lvl2pPr marL="57150" indent="-57150" algn="l">
            <a:defRPr sz="700"/>
          </a:lvl2pPr>
          <a:lvl3pPr marL="114300" indent="-57150" algn="l">
            <a:defRPr sz="700"/>
          </a:lvl3pPr>
          <a:lvl4pPr marL="171450" indent="-57150" algn="l">
            <a:defRPr sz="700"/>
          </a:lvl4pPr>
          <a:lvl5pPr marL="228600" indent="-57150" algn="l">
            <a:defRPr sz="700"/>
          </a:lvl5pPr>
          <a:lvl6pPr marL="285750" indent="-57150" algn="l">
            <a:defRPr sz="700"/>
          </a:lvl6pPr>
          <a:lvl7pPr marL="342900" indent="-57150" algn="l">
            <a:defRPr sz="700"/>
          </a:lvl7pPr>
          <a:lvl8pPr marL="400050" indent="-57150" algn="l">
            <a:defRPr sz="700"/>
          </a:lvl8pPr>
          <a:lvl9pPr marL="457200" indent="-57150" algn="l">
            <a:defRPr sz="700"/>
          </a:lvl9pPr>
        </a:lstStyle>
        <a:p>
          <a:pPr lvl="1">
            <a:lnSpc>
              <a:spcPct val="100000"/>
            </a:lnSpc>
            <a:spcBef>
              <a:spcPct val="0"/>
            </a:spcBef>
            <a:spcAft>
              <a:spcPct val="15000"/>
            </a:spcAft>
            <a:buChar char="•"/>
          </a:pPr>
          <a:r>
            <a:rPr lang="en-US" altLang="zh-CN" dirty="0" smtClean="0">
              <a:solidFill>
                <a:schemeClr val="dk1"/>
              </a:solidFill>
            </a:rPr>
            <a:t>ATMS</a:t>
          </a:r>
          <a:r>
            <a:rPr lang="zh-CN" altLang="en-US" dirty="0" smtClean="0">
              <a:solidFill>
                <a:schemeClr val="dk1"/>
              </a:solidFill>
            </a:rPr>
            <a:t>系统上提交材料</a:t>
          </a:r>
          <a:endParaRPr lang="zh-CN" altLang="en-US" dirty="0" smtClean="0">
            <a:solidFill>
              <a:schemeClr val="dk1"/>
            </a:solidFill>
          </a:endParaRPr>
        </a:p>
        <a:p>
          <a:pPr lvl="1">
            <a:lnSpc>
              <a:spcPct val="100000"/>
            </a:lnSpc>
            <a:spcBef>
              <a:spcPct val="0"/>
            </a:spcBef>
            <a:spcAft>
              <a:spcPct val="15000"/>
            </a:spcAft>
            <a:buChar char="•"/>
          </a:pPr>
          <a:r>
            <a:rPr lang="zh-CN" altLang="en-US" dirty="0" smtClean="0">
              <a:solidFill>
                <a:schemeClr val="dk1"/>
              </a:solidFill>
            </a:rPr>
            <a:t>递交伦理审查申请资料</a:t>
          </a:r>
          <a:endParaRPr lang="zh-CN" altLang="en-US" dirty="0">
            <a:solidFill>
              <a:schemeClr val="dk1"/>
            </a:solidFill>
          </a:endParaRPr>
        </a:p>
        <a:p>
          <a:pPr lvl="1">
            <a:lnSpc>
              <a:spcPct val="100000"/>
            </a:lnSpc>
            <a:spcBef>
              <a:spcPct val="0"/>
            </a:spcBef>
            <a:spcAft>
              <a:spcPct val="15000"/>
            </a:spcAft>
            <a:buChar char="•"/>
          </a:pPr>
          <a:r>
            <a:rPr lang="zh-CN" altLang="en-US" dirty="0" smtClean="0">
              <a:solidFill>
                <a:schemeClr val="dk1"/>
              </a:solidFill>
            </a:rPr>
            <a:t>补充资料</a:t>
          </a:r>
          <a:endParaRPr lang="zh-CN" altLang="en-US" dirty="0">
            <a:solidFill>
              <a:schemeClr val="dk1"/>
            </a:solidFill>
          </a:endParaRPr>
        </a:p>
        <a:p>
          <a:pPr lvl="1">
            <a:lnSpc>
              <a:spcPct val="100000"/>
            </a:lnSpc>
            <a:spcBef>
              <a:spcPct val="0"/>
            </a:spcBef>
            <a:spcAft>
              <a:spcPct val="15000"/>
            </a:spcAft>
            <a:buChar char="•"/>
          </a:pPr>
          <a:endParaRPr lang="zh-CN" altLang="en-US" dirty="0">
            <a:solidFill>
              <a:schemeClr val="dk1"/>
            </a:solidFill>
          </a:endParaRPr>
        </a:p>
        <a:p>
          <a:pPr lvl="1">
            <a:lnSpc>
              <a:spcPct val="100000"/>
            </a:lnSpc>
            <a:spcBef>
              <a:spcPct val="0"/>
            </a:spcBef>
            <a:spcAft>
              <a:spcPct val="15000"/>
            </a:spcAft>
            <a:buChar char="•"/>
          </a:pPr>
          <a:endParaRPr lang="zh-CN" altLang="en-US" dirty="0">
            <a:solidFill>
              <a:schemeClr val="dk1"/>
            </a:solidFill>
          </a:endParaRPr>
        </a:p>
        <a:p>
          <a:pPr lvl="1">
            <a:lnSpc>
              <a:spcPct val="100000"/>
            </a:lnSpc>
            <a:spcBef>
              <a:spcPct val="0"/>
            </a:spcBef>
            <a:spcAft>
              <a:spcPct val="15000"/>
            </a:spcAft>
            <a:buChar char="•"/>
          </a:pPr>
          <a:endParaRPr lang="zh-CN" altLang="en-US" dirty="0">
            <a:solidFill>
              <a:srgbClr val="FF0000"/>
            </a:solidFill>
          </a:endParaRPr>
        </a:p>
        <a:p>
          <a:pPr lvl="1">
            <a:lnSpc>
              <a:spcPct val="100000"/>
            </a:lnSpc>
            <a:spcBef>
              <a:spcPct val="0"/>
            </a:spcBef>
            <a:spcAft>
              <a:spcPct val="15000"/>
            </a:spcAft>
            <a:buChar char="•"/>
          </a:pPr>
          <a:endParaRPr lang="zh-CN" altLang="en-US" dirty="0">
            <a:solidFill>
              <a:srgbClr val="FF0000"/>
            </a:solidFill>
          </a:endParaRPr>
        </a:p>
        <a:p>
          <a:pPr lvl="1">
            <a:lnSpc>
              <a:spcPct val="100000"/>
            </a:lnSpc>
            <a:spcBef>
              <a:spcPct val="0"/>
            </a:spcBef>
            <a:spcAft>
              <a:spcPct val="15000"/>
            </a:spcAft>
            <a:buChar char="•"/>
          </a:pPr>
          <a:r>
            <a:rPr lang="zh-CN" altLang="en-US" dirty="0" smtClean="0">
              <a:solidFill>
                <a:srgbClr val="FF0000"/>
              </a:solidFill>
            </a:rPr>
            <a:t>根据审查意见修改方案等</a:t>
          </a:r>
          <a:endParaRPr lang="zh-CN" altLang="en-US" dirty="0">
            <a:solidFill>
              <a:srgbClr val="FF0000"/>
            </a:solidFill>
          </a:endParaRPr>
        </a:p>
      </dsp:txBody>
      <dsp:txXfrm>
        <a:off x="251989" y="267805"/>
        <a:ext cx="1230301" cy="1398905"/>
      </dsp:txXfrm>
    </dsp:sp>
    <dsp:sp modelId="{45B7E9C6-E34D-45CA-BC2B-F2F99DA31B40}">
      <dsp:nvSpPr>
        <dsp:cNvPr id="6" name="右箭头 5"/>
        <dsp:cNvSpPr/>
      </dsp:nvSpPr>
      <dsp:spPr bwMode="white">
        <a:xfrm>
          <a:off x="1405619" y="13850"/>
          <a:ext cx="395399" cy="306309"/>
        </a:xfrm>
        <a:prstGeom prst="rightArrow">
          <a:avLst>
            <a:gd name="adj1" fmla="val 60000"/>
            <a:gd name="adj2" fmla="val 50000"/>
          </a:avLst>
        </a:prstGeom>
      </dsp:spPr>
      <dsp:style>
        <a:lnRef idx="0">
          <a:schemeClr val="lt1">
            <a:hueOff val="0"/>
            <a:satOff val="0"/>
            <a:lumOff val="0"/>
            <a:alpha val="100000"/>
          </a:schemeClr>
        </a:lnRef>
        <a:fillRef idx="1">
          <a:schemeClr val="accent2"/>
        </a:fillRef>
        <a:effectRef idx="0">
          <a:scrgbClr r="0" g="0" b="0"/>
        </a:effectRef>
        <a:fontRef idx="minor">
          <a:schemeClr val="lt1"/>
        </a:fontRef>
      </dsp:style>
      <dsp:txXfrm>
        <a:off x="1405619" y="13850"/>
        <a:ext cx="395399" cy="306309"/>
      </dsp:txXfrm>
    </dsp:sp>
    <dsp:sp modelId="{F466D536-BACA-49FE-BC43-86EC84F59CB0}">
      <dsp:nvSpPr>
        <dsp:cNvPr id="9" name="圆角矩形 8"/>
        <dsp:cNvSpPr/>
      </dsp:nvSpPr>
      <dsp:spPr bwMode="white">
        <a:xfrm>
          <a:off x="1976337" y="66205"/>
          <a:ext cx="1230301" cy="302400"/>
        </a:xfrm>
        <a:prstGeom prst="roundRect">
          <a:avLst>
            <a:gd name="adj" fmla="val 10000"/>
          </a:avLst>
        </a:prstGeom>
        <a:solidFill>
          <a:srgbClr val="00B050"/>
        </a:solidFill>
      </dsp:spPr>
      <dsp:style>
        <a:lnRef idx="2">
          <a:schemeClr val="lt1"/>
        </a:lnRef>
        <a:fillRef idx="1">
          <a:schemeClr val="accent3"/>
        </a:fillRef>
        <a:effectRef idx="0">
          <a:scrgbClr r="0" g="0" b="0"/>
        </a:effectRef>
        <a:fontRef idx="minor">
          <a:schemeClr val="lt1"/>
        </a:fontRef>
      </dsp:style>
      <dsp:txXfrm>
        <a:off x="1976337" y="66205"/>
        <a:ext cx="1230301" cy="302400"/>
      </dsp:txXfrm>
    </dsp:sp>
    <dsp:sp modelId="{7872A8B7-CB2C-4017-8372-BA32C8AF9751}">
      <dsp:nvSpPr>
        <dsp:cNvPr id="10" name="圆角矩形 9"/>
        <dsp:cNvSpPr/>
      </dsp:nvSpPr>
      <dsp:spPr bwMode="white">
        <a:xfrm>
          <a:off x="2228327" y="267805"/>
          <a:ext cx="1230301" cy="1398905"/>
        </a:xfrm>
        <a:prstGeom prst="roundRect">
          <a:avLst>
            <a:gd name="adj" fmla="val 10000"/>
          </a:avLst>
        </a:prstGeom>
      </dsp:spPr>
      <dsp:style>
        <a:lnRef idx="2">
          <a:schemeClr val="accent3"/>
        </a:lnRef>
        <a:fillRef idx="1">
          <a:schemeClr val="lt1">
            <a:alpha val="90000"/>
          </a:schemeClr>
        </a:fillRef>
        <a:effectRef idx="0">
          <a:scrgbClr r="0" g="0" b="0"/>
        </a:effectRef>
        <a:fontRef idx="minor"/>
      </dsp:style>
      <dsp:txBody>
        <a:bodyPr lIns="49784" tIns="49784" rIns="49784" bIns="49784" anchor="t"/>
        <a:lstStyle>
          <a:lvl1pPr algn="l">
            <a:defRPr sz="700"/>
          </a:lvl1pPr>
          <a:lvl2pPr marL="57150" indent="-57150" algn="l">
            <a:defRPr sz="700"/>
          </a:lvl2pPr>
          <a:lvl3pPr marL="114300" indent="-57150" algn="l">
            <a:defRPr sz="700"/>
          </a:lvl3pPr>
          <a:lvl4pPr marL="171450" indent="-57150" algn="l">
            <a:defRPr sz="700"/>
          </a:lvl4pPr>
          <a:lvl5pPr marL="228600" indent="-57150" algn="l">
            <a:defRPr sz="700"/>
          </a:lvl5pPr>
          <a:lvl6pPr marL="285750" indent="-57150" algn="l">
            <a:defRPr sz="700"/>
          </a:lvl6pPr>
          <a:lvl7pPr marL="342900" indent="-57150" algn="l">
            <a:defRPr sz="700"/>
          </a:lvl7pPr>
          <a:lvl8pPr marL="400050" indent="-57150" algn="l">
            <a:defRPr sz="700"/>
          </a:lvl8pPr>
          <a:lvl9pPr marL="457200" indent="-57150" algn="l">
            <a:defRPr sz="700"/>
          </a:lvl9pPr>
        </a:lstStyle>
        <a:p>
          <a:pPr lvl="1">
            <a:lnSpc>
              <a:spcPct val="100000"/>
            </a:lnSpc>
            <a:spcBef>
              <a:spcPct val="0"/>
            </a:spcBef>
            <a:spcAft>
              <a:spcPct val="15000"/>
            </a:spcAft>
            <a:buChar char="•"/>
          </a:pPr>
          <a:r>
            <a:rPr lang="zh-CN" altLang="en-US" dirty="0" smtClean="0">
              <a:solidFill>
                <a:schemeClr val="dk1"/>
              </a:solidFill>
            </a:rPr>
            <a:t>受理</a:t>
          </a:r>
          <a:endParaRPr lang="zh-CN" altLang="en-US" dirty="0">
            <a:solidFill>
              <a:schemeClr val="dk1"/>
            </a:solidFill>
          </a:endParaRPr>
        </a:p>
        <a:p>
          <a:pPr lvl="1">
            <a:lnSpc>
              <a:spcPct val="100000"/>
            </a:lnSpc>
            <a:spcBef>
              <a:spcPct val="0"/>
            </a:spcBef>
            <a:spcAft>
              <a:spcPct val="15000"/>
            </a:spcAft>
            <a:buChar char="•"/>
          </a:pPr>
          <a:r>
            <a:rPr lang="zh-CN" altLang="en-US" dirty="0" smtClean="0">
              <a:solidFill>
                <a:schemeClr val="dk1"/>
              </a:solidFill>
            </a:rPr>
            <a:t>形式审查</a:t>
          </a:r>
          <a:endParaRPr lang="zh-CN" altLang="en-US" dirty="0">
            <a:solidFill>
              <a:schemeClr val="dk1"/>
            </a:solidFill>
          </a:endParaRPr>
        </a:p>
        <a:p>
          <a:pPr lvl="1">
            <a:lnSpc>
              <a:spcPct val="100000"/>
            </a:lnSpc>
            <a:spcBef>
              <a:spcPct val="0"/>
            </a:spcBef>
            <a:spcAft>
              <a:spcPct val="15000"/>
            </a:spcAft>
            <a:buChar char="•"/>
          </a:pPr>
          <a:r>
            <a:rPr lang="zh-CN" altLang="en-US" dirty="0">
              <a:solidFill>
                <a:schemeClr val="dk1"/>
              </a:solidFill>
            </a:rPr>
            <a:t>登记</a:t>
          </a:r>
          <a:endParaRPr lang="zh-CN" altLang="en-US" dirty="0">
            <a:solidFill>
              <a:schemeClr val="dk1"/>
            </a:solidFill>
          </a:endParaRPr>
        </a:p>
        <a:p>
          <a:pPr lvl="1">
            <a:lnSpc>
              <a:spcPct val="100000"/>
            </a:lnSpc>
            <a:spcBef>
              <a:spcPct val="0"/>
            </a:spcBef>
            <a:spcAft>
              <a:spcPct val="15000"/>
            </a:spcAft>
            <a:buChar char="•"/>
          </a:pPr>
          <a:r>
            <a:rPr lang="zh-CN" altLang="en-US" dirty="0">
              <a:solidFill>
                <a:schemeClr val="dk1"/>
              </a:solidFill>
            </a:rPr>
            <a:t>送审</a:t>
          </a:r>
          <a:endParaRPr lang="zh-CN" altLang="en-US" dirty="0">
            <a:solidFill>
              <a:schemeClr val="dk1"/>
            </a:solidFill>
          </a:endParaRPr>
        </a:p>
        <a:p>
          <a:pPr lvl="1">
            <a:lnSpc>
              <a:spcPct val="100000"/>
            </a:lnSpc>
            <a:spcBef>
              <a:spcPct val="0"/>
            </a:spcBef>
            <a:spcAft>
              <a:spcPct val="15000"/>
            </a:spcAft>
            <a:buChar char="•"/>
          </a:pPr>
          <a:endParaRPr lang="zh-CN" altLang="en-US" dirty="0">
            <a:solidFill>
              <a:schemeClr val="dk1"/>
            </a:solidFill>
          </a:endParaRPr>
        </a:p>
        <a:p>
          <a:pPr lvl="1">
            <a:lnSpc>
              <a:spcPct val="100000"/>
            </a:lnSpc>
            <a:spcBef>
              <a:spcPct val="0"/>
            </a:spcBef>
            <a:spcAft>
              <a:spcPct val="15000"/>
            </a:spcAft>
            <a:buChar char="•"/>
          </a:pPr>
          <a:r>
            <a:rPr lang="zh-CN">
              <a:solidFill>
                <a:srgbClr val="FF0000"/>
              </a:solidFill>
            </a:rPr>
            <a:t>起草审查决定</a:t>
          </a:r>
          <a:r>
            <a:rPr lang="zh-CN" altLang="en-US">
              <a:solidFill>
                <a:srgbClr val="FF0000"/>
              </a:solidFill>
            </a:rPr>
            <a:t>意见</a:t>
          </a:r>
          <a:endParaRPr lang="zh-CN" altLang="en-US" dirty="0">
            <a:solidFill>
              <a:srgbClr val="FF0000"/>
            </a:solidFill>
          </a:endParaRPr>
        </a:p>
        <a:p>
          <a:pPr lvl="1">
            <a:lnSpc>
              <a:spcPct val="100000"/>
            </a:lnSpc>
            <a:spcBef>
              <a:spcPct val="0"/>
            </a:spcBef>
            <a:spcAft>
              <a:spcPct val="15000"/>
            </a:spcAft>
            <a:buChar char="•"/>
          </a:pPr>
          <a:r>
            <a:rPr lang="zh-CN">
              <a:solidFill>
                <a:srgbClr val="FF0000"/>
              </a:solidFill>
            </a:rPr>
            <a:t>呈送主任委员审核</a:t>
          </a:r>
          <a:endParaRPr lang="zh-CN" altLang="en-US" dirty="0">
            <a:solidFill>
              <a:srgbClr val="FF0000"/>
            </a:solidFill>
          </a:endParaRPr>
        </a:p>
        <a:p>
          <a:pPr lvl="1">
            <a:lnSpc>
              <a:spcPct val="100000"/>
            </a:lnSpc>
            <a:spcBef>
              <a:spcPct val="0"/>
            </a:spcBef>
            <a:spcAft>
              <a:spcPct val="15000"/>
            </a:spcAft>
            <a:buChar char="•"/>
          </a:pPr>
          <a:r>
            <a:rPr lang="zh-CN" altLang="en-US" dirty="0" smtClean="0">
              <a:solidFill>
                <a:srgbClr val="FF0000"/>
              </a:solidFill>
            </a:rPr>
            <a:t>反馈审查决定</a:t>
          </a:r>
          <a:endParaRPr lang="zh-CN" altLang="en-US" dirty="0">
            <a:solidFill>
              <a:srgbClr val="FF0000"/>
            </a:solidFill>
          </a:endParaRPr>
        </a:p>
      </dsp:txBody>
      <dsp:txXfrm>
        <a:off x="2228327" y="267805"/>
        <a:ext cx="1230301" cy="1398905"/>
      </dsp:txXfrm>
    </dsp:sp>
    <dsp:sp modelId="{889F925C-6DD8-4BA1-86FC-15CD0FD8B1A3}">
      <dsp:nvSpPr>
        <dsp:cNvPr id="11" name="右箭头 10"/>
        <dsp:cNvSpPr/>
      </dsp:nvSpPr>
      <dsp:spPr bwMode="white">
        <a:xfrm>
          <a:off x="3381957" y="13850"/>
          <a:ext cx="395399" cy="306309"/>
        </a:xfrm>
        <a:prstGeom prst="rightArrow">
          <a:avLst>
            <a:gd name="adj1" fmla="val 60000"/>
            <a:gd name="adj2" fmla="val 50000"/>
          </a:avLst>
        </a:prstGeom>
      </dsp:spPr>
      <dsp:style>
        <a:lnRef idx="0">
          <a:schemeClr val="lt1">
            <a:hueOff val="0"/>
            <a:satOff val="0"/>
            <a:lumOff val="0"/>
            <a:alpha val="100000"/>
          </a:schemeClr>
        </a:lnRef>
        <a:fillRef idx="1">
          <a:schemeClr val="accent3"/>
        </a:fillRef>
        <a:effectRef idx="0">
          <a:scrgbClr r="0" g="0" b="0"/>
        </a:effectRef>
        <a:fontRef idx="minor">
          <a:schemeClr val="lt1"/>
        </a:fontRef>
      </dsp:style>
      <dsp:txXfrm>
        <a:off x="3381957" y="13850"/>
        <a:ext cx="395399" cy="306309"/>
      </dsp:txXfrm>
    </dsp:sp>
    <dsp:sp modelId="{C749505E-AC07-4721-9DDB-D511EDFA04CA}">
      <dsp:nvSpPr>
        <dsp:cNvPr id="14" name="圆角矩形 13"/>
        <dsp:cNvSpPr/>
      </dsp:nvSpPr>
      <dsp:spPr bwMode="white">
        <a:xfrm>
          <a:off x="3952675" y="66205"/>
          <a:ext cx="1230301" cy="302400"/>
        </a:xfrm>
        <a:prstGeom prst="roundRect">
          <a:avLst>
            <a:gd name="adj" fmla="val 10000"/>
          </a:avLst>
        </a:prstGeom>
        <a:solidFill>
          <a:srgbClr val="7030A0"/>
        </a:solidFill>
      </dsp:spPr>
      <dsp:style>
        <a:lnRef idx="2">
          <a:schemeClr val="lt1"/>
        </a:lnRef>
        <a:fillRef idx="1">
          <a:schemeClr val="accent4"/>
        </a:fillRef>
        <a:effectRef idx="0">
          <a:scrgbClr r="0" g="0" b="0"/>
        </a:effectRef>
        <a:fontRef idx="minor">
          <a:schemeClr val="lt1"/>
        </a:fontRef>
      </dsp:style>
      <dsp:txXfrm>
        <a:off x="3952675" y="66205"/>
        <a:ext cx="1230301" cy="302400"/>
      </dsp:txXfrm>
    </dsp:sp>
    <dsp:sp modelId="{46660FB0-A92B-4BEB-BFAA-99B47C0C309B}">
      <dsp:nvSpPr>
        <dsp:cNvPr id="15" name="圆角矩形 14"/>
        <dsp:cNvSpPr/>
      </dsp:nvSpPr>
      <dsp:spPr bwMode="white">
        <a:xfrm>
          <a:off x="4204664" y="267805"/>
          <a:ext cx="1230301" cy="1398905"/>
        </a:xfrm>
        <a:prstGeom prst="roundRect">
          <a:avLst>
            <a:gd name="adj" fmla="val 10000"/>
          </a:avLst>
        </a:prstGeom>
      </dsp:spPr>
      <dsp:style>
        <a:lnRef idx="2">
          <a:schemeClr val="accent4"/>
        </a:lnRef>
        <a:fillRef idx="1">
          <a:schemeClr val="lt1">
            <a:alpha val="90000"/>
          </a:schemeClr>
        </a:fillRef>
        <a:effectRef idx="0">
          <a:scrgbClr r="0" g="0" b="0"/>
        </a:effectRef>
        <a:fontRef idx="minor"/>
      </dsp:style>
      <dsp:txBody>
        <a:bodyPr lIns="49784" tIns="49784" rIns="49784" bIns="49784" anchor="t"/>
        <a:lstStyle>
          <a:lvl1pPr algn="l">
            <a:defRPr sz="700"/>
          </a:lvl1pPr>
          <a:lvl2pPr marL="57150" indent="-57150" algn="l">
            <a:defRPr sz="700"/>
          </a:lvl2pPr>
          <a:lvl3pPr marL="114300" indent="-57150" algn="l">
            <a:defRPr sz="700"/>
          </a:lvl3pPr>
          <a:lvl4pPr marL="171450" indent="-57150" algn="l">
            <a:defRPr sz="700"/>
          </a:lvl4pPr>
          <a:lvl5pPr marL="228600" indent="-57150" algn="l">
            <a:defRPr sz="700"/>
          </a:lvl5pPr>
          <a:lvl6pPr marL="285750" indent="-57150" algn="l">
            <a:defRPr sz="700"/>
          </a:lvl6pPr>
          <a:lvl7pPr marL="342900" indent="-57150" algn="l">
            <a:defRPr sz="700"/>
          </a:lvl7pPr>
          <a:lvl8pPr marL="400050" indent="-57150" algn="l">
            <a:defRPr sz="700"/>
          </a:lvl8pPr>
          <a:lvl9pPr marL="457200" indent="-57150" algn="l">
            <a:defRPr sz="700"/>
          </a:lvl9pPr>
        </a:lstStyle>
        <a:p>
          <a:pPr lvl="1">
            <a:lnSpc>
              <a:spcPct val="100000"/>
            </a:lnSpc>
            <a:spcBef>
              <a:spcPct val="0"/>
            </a:spcBef>
            <a:spcAft>
              <a:spcPct val="15000"/>
            </a:spcAft>
            <a:buChar char="•"/>
          </a:pPr>
          <a:endParaRPr lang="zh-CN" altLang="en-US" dirty="0">
            <a:solidFill>
              <a:schemeClr val="dk1"/>
            </a:solidFill>
          </a:endParaRPr>
        </a:p>
        <a:p>
          <a:pPr lvl="1">
            <a:lnSpc>
              <a:spcPct val="100000"/>
            </a:lnSpc>
            <a:spcBef>
              <a:spcPct val="0"/>
            </a:spcBef>
            <a:spcAft>
              <a:spcPct val="15000"/>
            </a:spcAft>
            <a:buChar char="•"/>
          </a:pPr>
          <a:r>
            <a:rPr lang="zh-CN" altLang="en-US" dirty="0" smtClean="0">
              <a:solidFill>
                <a:schemeClr val="dk1"/>
              </a:solidFill>
            </a:rPr>
            <a:t>审查递交资料</a:t>
          </a:r>
          <a:endParaRPr lang="zh-CN" altLang="en-US" dirty="0">
            <a:solidFill>
              <a:schemeClr val="dk1"/>
            </a:solidFill>
          </a:endParaRPr>
        </a:p>
        <a:p>
          <a:pPr lvl="1">
            <a:lnSpc>
              <a:spcPct val="100000"/>
            </a:lnSpc>
            <a:spcBef>
              <a:spcPct val="0"/>
            </a:spcBef>
            <a:spcAft>
              <a:spcPct val="15000"/>
            </a:spcAft>
            <a:buChar char="•"/>
          </a:pPr>
          <a:endParaRPr lang="zh-CN" altLang="en-US" dirty="0">
            <a:solidFill>
              <a:schemeClr val="dk1"/>
            </a:solidFill>
          </a:endParaRPr>
        </a:p>
        <a:p>
          <a:pPr lvl="1">
            <a:lnSpc>
              <a:spcPct val="100000"/>
            </a:lnSpc>
            <a:spcBef>
              <a:spcPct val="0"/>
            </a:spcBef>
            <a:spcAft>
              <a:spcPct val="15000"/>
            </a:spcAft>
            <a:buChar char="•"/>
          </a:pPr>
          <a:r>
            <a:rPr lang="zh-CN" altLang="en-US" dirty="0" smtClean="0">
              <a:solidFill>
                <a:schemeClr val="dk1"/>
              </a:solidFill>
            </a:rPr>
            <a:t>给出审查意见</a:t>
          </a:r>
          <a:endParaRPr lang="zh-CN" altLang="en-US" dirty="0">
            <a:solidFill>
              <a:schemeClr val="dk1"/>
            </a:solidFill>
          </a:endParaRPr>
        </a:p>
        <a:p>
          <a:pPr lvl="1">
            <a:lnSpc>
              <a:spcPct val="100000"/>
            </a:lnSpc>
            <a:spcBef>
              <a:spcPct val="0"/>
            </a:spcBef>
            <a:spcAft>
              <a:spcPct val="15000"/>
            </a:spcAft>
            <a:buChar char="•"/>
          </a:pPr>
          <a:endParaRPr lang="zh-CN" altLang="en-US" dirty="0">
            <a:solidFill>
              <a:schemeClr val="dk1"/>
            </a:solidFill>
          </a:endParaRPr>
        </a:p>
        <a:p>
          <a:pPr lvl="1">
            <a:lnSpc>
              <a:spcPct val="100000"/>
            </a:lnSpc>
            <a:spcBef>
              <a:spcPct val="0"/>
            </a:spcBef>
            <a:spcAft>
              <a:spcPct val="15000"/>
            </a:spcAft>
            <a:buChar char="•"/>
          </a:pPr>
          <a:endParaRPr lang="zh-CN" altLang="en-US" dirty="0">
            <a:solidFill>
              <a:schemeClr val="dk1"/>
            </a:solidFill>
          </a:endParaRPr>
        </a:p>
        <a:p>
          <a:pPr lvl="1">
            <a:lnSpc>
              <a:spcPct val="100000"/>
            </a:lnSpc>
            <a:spcBef>
              <a:spcPct val="0"/>
            </a:spcBef>
            <a:spcAft>
              <a:spcPct val="15000"/>
            </a:spcAft>
            <a:buChar char="•"/>
          </a:pPr>
          <a:r>
            <a:rPr lang="zh-CN" altLang="en-US" dirty="0">
              <a:solidFill>
                <a:srgbClr val="FF0000"/>
              </a:solidFill>
            </a:rPr>
            <a:t>审查方式：</a:t>
          </a:r>
          <a:endParaRPr lang="zh-CN" altLang="en-US" dirty="0">
            <a:solidFill>
              <a:srgbClr val="FF0000"/>
            </a:solidFill>
          </a:endParaRPr>
        </a:p>
        <a:p>
          <a:pPr lvl="2">
            <a:lnSpc>
              <a:spcPct val="100000"/>
            </a:lnSpc>
            <a:spcBef>
              <a:spcPct val="0"/>
            </a:spcBef>
            <a:spcAft>
              <a:spcPct val="15000"/>
            </a:spcAft>
            <a:buChar char="•"/>
          </a:pPr>
          <a:r>
            <a:rPr lang="zh-CN" altLang="en-US" dirty="0">
              <a:solidFill>
                <a:srgbClr val="FF0000"/>
              </a:solidFill>
            </a:rPr>
            <a:t>会议审查</a:t>
          </a:r>
          <a:endParaRPr lang="zh-CN" altLang="en-US" dirty="0">
            <a:solidFill>
              <a:srgbClr val="FF0000"/>
            </a:solidFill>
          </a:endParaRPr>
        </a:p>
        <a:p>
          <a:pPr lvl="2">
            <a:lnSpc>
              <a:spcPct val="100000"/>
            </a:lnSpc>
            <a:spcBef>
              <a:spcPct val="0"/>
            </a:spcBef>
            <a:spcAft>
              <a:spcPct val="15000"/>
            </a:spcAft>
            <a:buChar char="•"/>
          </a:pPr>
          <a:r>
            <a:rPr lang="zh-CN" altLang="en-US" dirty="0">
              <a:solidFill>
                <a:srgbClr val="FF0000"/>
              </a:solidFill>
            </a:rPr>
            <a:t>快速审查</a:t>
          </a:r>
          <a:endParaRPr lang="zh-CN" altLang="en-US" dirty="0">
            <a:solidFill>
              <a:srgbClr val="FF0000"/>
            </a:solidFill>
          </a:endParaRPr>
        </a:p>
        <a:p>
          <a:pPr lvl="1">
            <a:lnSpc>
              <a:spcPct val="100000"/>
            </a:lnSpc>
            <a:spcBef>
              <a:spcPct val="0"/>
            </a:spcBef>
            <a:spcAft>
              <a:spcPct val="15000"/>
            </a:spcAft>
            <a:buChar char="•"/>
          </a:pPr>
          <a:endParaRPr lang="zh-CN" altLang="en-US" dirty="0">
            <a:solidFill>
              <a:schemeClr val="dk1"/>
            </a:solidFill>
          </a:endParaRPr>
        </a:p>
      </dsp:txBody>
      <dsp:txXfrm>
        <a:off x="4204664" y="267805"/>
        <a:ext cx="1230301" cy="1398905"/>
      </dsp:txXfrm>
    </dsp:sp>
    <dsp:sp modelId="{BE493C8D-3EC3-4C3A-AC38-4D09E42D1F74}">
      <dsp:nvSpPr>
        <dsp:cNvPr id="3" name="矩形 2"/>
        <dsp:cNvSpPr/>
      </dsp:nvSpPr>
      <dsp:spPr bwMode="white">
        <a:xfrm>
          <a:off x="0" y="66205"/>
          <a:ext cx="1230301" cy="201600"/>
        </a:xfrm>
        <a:prstGeom prst="rect">
          <a:avLst/>
        </a:prstGeom>
        <a:noFill/>
        <a:ln>
          <a:noFill/>
        </a:ln>
      </dsp:spPr>
      <dsp:style>
        <a:lnRef idx="2">
          <a:schemeClr val="lt1"/>
        </a:lnRef>
        <a:fillRef idx="1">
          <a:schemeClr val="accent2"/>
        </a:fillRef>
        <a:effectRef idx="0">
          <a:scrgbClr r="0" g="0" b="0"/>
        </a:effectRef>
        <a:fontRef idx="minor">
          <a:schemeClr val="lt1"/>
        </a:fontRef>
      </dsp:style>
      <dsp:txBody>
        <a:bodyPr lIns="49784" tIns="49784" rIns="49784" bIns="26670" anchor="t"/>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nSpc>
              <a:spcPct val="100000"/>
            </a:lnSpc>
            <a:spcBef>
              <a:spcPct val="0"/>
            </a:spcBef>
            <a:spcAft>
              <a:spcPct val="35000"/>
            </a:spcAft>
          </a:pPr>
          <a:r>
            <a:rPr lang="zh-CN" altLang="en-US" dirty="0" smtClean="0"/>
            <a:t>研究者</a:t>
          </a:r>
          <a:r>
            <a:rPr lang="en-US" altLang="zh-CN" dirty="0" smtClean="0"/>
            <a:t>/</a:t>
          </a:r>
          <a:r>
            <a:rPr lang="zh-CN" altLang="en-US" dirty="0" smtClean="0"/>
            <a:t>申办者</a:t>
          </a:r>
          <a:endParaRPr lang="zh-CN" altLang="en-US" dirty="0"/>
        </a:p>
      </dsp:txBody>
      <dsp:txXfrm>
        <a:off x="0" y="66205"/>
        <a:ext cx="1230301" cy="201600"/>
      </dsp:txXfrm>
    </dsp:sp>
    <dsp:sp modelId="{0671A9DB-6267-4476-BD1C-94B37B4D5BB8}">
      <dsp:nvSpPr>
        <dsp:cNvPr id="7" name="右箭头 6"/>
        <dsp:cNvSpPr/>
      </dsp:nvSpPr>
      <dsp:spPr bwMode="white">
        <a:xfrm>
          <a:off x="1405619" y="13850"/>
          <a:ext cx="395399" cy="306309"/>
        </a:xfrm>
        <a:prstGeom prst="rightArrow">
          <a:avLst>
            <a:gd name="adj1" fmla="val 60000"/>
            <a:gd name="adj2" fmla="val 50000"/>
          </a:avLst>
        </a:prstGeom>
        <a:noFill/>
        <a:ln>
          <a:noFill/>
        </a:ln>
      </dsp:spPr>
      <dsp:style>
        <a:lnRef idx="0">
          <a:schemeClr val="lt1">
            <a:hueOff val="0"/>
            <a:satOff val="0"/>
            <a:lumOff val="0"/>
            <a:alpha val="100000"/>
          </a:schemeClr>
        </a:lnRef>
        <a:fillRef idx="1">
          <a:schemeClr val="accent2"/>
        </a:fillRef>
        <a:effectRef idx="0">
          <a:scrgbClr r="0" g="0" b="0"/>
        </a:effectRef>
        <a:fontRef idx="minor">
          <a:schemeClr val="lt1"/>
        </a:fontRef>
      </dsp:style>
      <dsp:txBody>
        <a:bodyPr lIns="0" tIns="0" rIns="0" bIns="0" anchor="ctr"/>
        <a:lstStyle>
          <a:lvl1pPr algn="ctr">
            <a:defRPr sz="20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nSpc>
              <a:spcPct val="100000"/>
            </a:lnSpc>
            <a:spcBef>
              <a:spcPct val="0"/>
            </a:spcBef>
            <a:spcAft>
              <a:spcPct val="35000"/>
            </a:spcAft>
          </a:pPr>
          <a:endParaRPr lang="zh-CN" altLang="en-US"/>
        </a:p>
      </dsp:txBody>
      <dsp:txXfrm>
        <a:off x="1405619" y="13850"/>
        <a:ext cx="395399" cy="306309"/>
      </dsp:txXfrm>
    </dsp:sp>
    <dsp:sp modelId="{85A53C4C-E6EF-4BEC-9129-1BDB4611D257}">
      <dsp:nvSpPr>
        <dsp:cNvPr id="8" name="矩形 7"/>
        <dsp:cNvSpPr/>
      </dsp:nvSpPr>
      <dsp:spPr bwMode="white">
        <a:xfrm>
          <a:off x="1976337" y="66205"/>
          <a:ext cx="1230301" cy="201600"/>
        </a:xfrm>
        <a:prstGeom prst="rect">
          <a:avLst/>
        </a:prstGeom>
        <a:noFill/>
        <a:ln>
          <a:noFill/>
        </a:ln>
      </dsp:spPr>
      <dsp:style>
        <a:lnRef idx="2">
          <a:schemeClr val="lt1"/>
        </a:lnRef>
        <a:fillRef idx="1">
          <a:schemeClr val="accent2"/>
        </a:fillRef>
        <a:effectRef idx="0">
          <a:scrgbClr r="0" g="0" b="0"/>
        </a:effectRef>
        <a:fontRef idx="minor">
          <a:schemeClr val="lt1"/>
        </a:fontRef>
      </dsp:style>
      <dsp:txBody>
        <a:bodyPr lIns="49784" tIns="49784" rIns="49784" bIns="26670" anchor="t"/>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nSpc>
              <a:spcPct val="100000"/>
            </a:lnSpc>
            <a:spcBef>
              <a:spcPct val="0"/>
            </a:spcBef>
            <a:spcAft>
              <a:spcPct val="35000"/>
            </a:spcAft>
          </a:pPr>
          <a:r>
            <a:rPr lang="zh-CN" altLang="en-US" dirty="0" smtClean="0"/>
            <a:t>伦理委员会秘书</a:t>
          </a:r>
          <a:endParaRPr lang="zh-CN" altLang="en-US" dirty="0"/>
        </a:p>
      </dsp:txBody>
      <dsp:txXfrm>
        <a:off x="1976337" y="66205"/>
        <a:ext cx="1230301" cy="201600"/>
      </dsp:txXfrm>
    </dsp:sp>
    <dsp:sp modelId="{1E908869-4151-458B-942A-E311018AF3FD}">
      <dsp:nvSpPr>
        <dsp:cNvPr id="12" name="右箭头 11"/>
        <dsp:cNvSpPr/>
      </dsp:nvSpPr>
      <dsp:spPr bwMode="white">
        <a:xfrm>
          <a:off x="3381957" y="13850"/>
          <a:ext cx="395399" cy="306309"/>
        </a:xfrm>
        <a:prstGeom prst="rightArrow">
          <a:avLst>
            <a:gd name="adj1" fmla="val 60000"/>
            <a:gd name="adj2" fmla="val 50000"/>
          </a:avLst>
        </a:prstGeom>
        <a:noFill/>
        <a:ln>
          <a:noFill/>
        </a:ln>
      </dsp:spPr>
      <dsp:style>
        <a:lnRef idx="0">
          <a:schemeClr val="lt1">
            <a:hueOff val="0"/>
            <a:satOff val="0"/>
            <a:lumOff val="0"/>
            <a:alpha val="100000"/>
          </a:schemeClr>
        </a:lnRef>
        <a:fillRef idx="1">
          <a:schemeClr val="accent3"/>
        </a:fillRef>
        <a:effectRef idx="0">
          <a:scrgbClr r="0" g="0" b="0"/>
        </a:effectRef>
        <a:fontRef idx="minor">
          <a:schemeClr val="lt1"/>
        </a:fontRef>
      </dsp:style>
      <dsp:txBody>
        <a:bodyPr lIns="0" tIns="0" rIns="0" bIns="0" anchor="ctr"/>
        <a:lstStyle>
          <a:lvl1pPr algn="ctr">
            <a:defRPr sz="2000"/>
          </a:lvl1pPr>
          <a:lvl2pPr marL="114300" indent="-114300" algn="ctr">
            <a:defRPr sz="1500"/>
          </a:lvl2pPr>
          <a:lvl3pPr marL="228600" indent="-114300" algn="ctr">
            <a:defRPr sz="1500"/>
          </a:lvl3pPr>
          <a:lvl4pPr marL="342900" indent="-114300" algn="ctr">
            <a:defRPr sz="1500"/>
          </a:lvl4pPr>
          <a:lvl5pPr marL="457200" indent="-114300" algn="ctr">
            <a:defRPr sz="1500"/>
          </a:lvl5pPr>
          <a:lvl6pPr marL="571500" indent="-114300" algn="ctr">
            <a:defRPr sz="1500"/>
          </a:lvl6pPr>
          <a:lvl7pPr marL="685800" indent="-114300" algn="ctr">
            <a:defRPr sz="1500"/>
          </a:lvl7pPr>
          <a:lvl8pPr marL="800100" indent="-114300" algn="ctr">
            <a:defRPr sz="1500"/>
          </a:lvl8pPr>
          <a:lvl9pPr marL="914400" indent="-114300" algn="ctr">
            <a:defRPr sz="1500"/>
          </a:lvl9pPr>
        </a:lstStyle>
        <a:p>
          <a:pPr lvl="0">
            <a:lnSpc>
              <a:spcPct val="100000"/>
            </a:lnSpc>
            <a:spcBef>
              <a:spcPct val="0"/>
            </a:spcBef>
            <a:spcAft>
              <a:spcPct val="35000"/>
            </a:spcAft>
          </a:pPr>
          <a:endParaRPr lang="zh-CN" altLang="en-US"/>
        </a:p>
      </dsp:txBody>
      <dsp:txXfrm>
        <a:off x="3381957" y="13850"/>
        <a:ext cx="395399" cy="306309"/>
      </dsp:txXfrm>
    </dsp:sp>
    <dsp:sp modelId="{4FC0FC80-EE08-44D0-8A31-1F67BA5BB926}">
      <dsp:nvSpPr>
        <dsp:cNvPr id="13" name="矩形 12"/>
        <dsp:cNvSpPr/>
      </dsp:nvSpPr>
      <dsp:spPr bwMode="white">
        <a:xfrm>
          <a:off x="3952675" y="66205"/>
          <a:ext cx="1230301" cy="201600"/>
        </a:xfrm>
        <a:prstGeom prst="rect">
          <a:avLst/>
        </a:prstGeom>
        <a:noFill/>
        <a:ln>
          <a:noFill/>
        </a:ln>
      </dsp:spPr>
      <dsp:style>
        <a:lnRef idx="2">
          <a:schemeClr val="lt1"/>
        </a:lnRef>
        <a:fillRef idx="1">
          <a:schemeClr val="accent3"/>
        </a:fillRef>
        <a:effectRef idx="0">
          <a:scrgbClr r="0" g="0" b="0"/>
        </a:effectRef>
        <a:fontRef idx="minor">
          <a:schemeClr val="lt1"/>
        </a:fontRef>
      </dsp:style>
      <dsp:txBody>
        <a:bodyPr lIns="49784" tIns="49784" rIns="49784" bIns="26670" anchor="t"/>
        <a:lstStyle>
          <a:lvl1pPr algn="l">
            <a:defRPr sz="700"/>
          </a:lvl1pPr>
          <a:lvl2pPr marL="57150" indent="-57150" algn="l">
            <a:defRPr sz="500"/>
          </a:lvl2pPr>
          <a:lvl3pPr marL="114300" indent="-57150" algn="l">
            <a:defRPr sz="500"/>
          </a:lvl3pPr>
          <a:lvl4pPr marL="171450" indent="-57150" algn="l">
            <a:defRPr sz="500"/>
          </a:lvl4pPr>
          <a:lvl5pPr marL="228600" indent="-57150" algn="l">
            <a:defRPr sz="500"/>
          </a:lvl5pPr>
          <a:lvl6pPr marL="285750" indent="-57150" algn="l">
            <a:defRPr sz="500"/>
          </a:lvl6pPr>
          <a:lvl7pPr marL="342900" indent="-57150" algn="l">
            <a:defRPr sz="500"/>
          </a:lvl7pPr>
          <a:lvl8pPr marL="400050" indent="-57150" algn="l">
            <a:defRPr sz="500"/>
          </a:lvl8pPr>
          <a:lvl9pPr marL="457200" indent="-57150" algn="l">
            <a:defRPr sz="500"/>
          </a:lvl9pPr>
        </a:lstStyle>
        <a:p>
          <a:pPr lvl="0">
            <a:lnSpc>
              <a:spcPct val="100000"/>
            </a:lnSpc>
            <a:spcBef>
              <a:spcPct val="0"/>
            </a:spcBef>
            <a:spcAft>
              <a:spcPct val="35000"/>
            </a:spcAft>
          </a:pPr>
          <a:r>
            <a:rPr lang="zh-CN" altLang="en-US" dirty="0" smtClean="0"/>
            <a:t>伦理委员</a:t>
          </a:r>
          <a:endParaRPr lang="zh-CN" altLang="en-US" dirty="0"/>
        </a:p>
      </dsp:txBody>
      <dsp:txXfrm>
        <a:off x="3952675" y="66205"/>
        <a:ext cx="1230301" cy="2016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1">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srcNode" val="parTx"/>
            <dgm:param type="dstNode" val="parTx"/>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290C64-EF5E-496E-9485-0364E4B4DD4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1066</Words>
  <Characters>6078</Characters>
  <Lines>50</Lines>
  <Paragraphs>14</Paragraphs>
  <TotalTime>4</TotalTime>
  <ScaleCrop>false</ScaleCrop>
  <LinksUpToDate>false</LinksUpToDate>
  <CharactersWithSpaces>7130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2017-03-30T02:44:00Z</dcterms:created>
  <dc:creator>ttyyirb</dc:creator>
  <cp:lastModifiedBy>Administrator</cp:lastModifiedBy>
  <cp:lastPrinted>2018-11-14T05:45:00Z</cp:lastPrinted>
  <dcterms:modified xsi:type="dcterms:W3CDTF">2018-11-14T08:43:25Z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